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甬经动态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sz w:val="28"/>
          <w:szCs w:val="28"/>
        </w:rPr>
      </w:pPr>
      <w:r>
        <w:rPr>
          <w:rFonts w:hint="eastAsia" w:ascii="华文细黑" w:hAnsi="华文细黑" w:eastAsia="华文细黑"/>
          <w:sz w:val="28"/>
          <w:szCs w:val="28"/>
        </w:rPr>
        <w:t>今年前11个月，宁波实现进出口额1.09万亿元，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sz w:val="28"/>
          <w:szCs w:val="28"/>
        </w:rPr>
      </w:pPr>
      <w:r>
        <w:rPr>
          <w:rFonts w:hint="eastAsia" w:ascii="华文细黑" w:hAnsi="华文细黑" w:eastAsia="华文细黑"/>
          <w:sz w:val="28"/>
          <w:szCs w:val="28"/>
        </w:rPr>
        <w:t>成为全国第6座“外贸万亿之城”——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hAnsi="宋体" w:eastAsia="楷体_GB2312"/>
          <w:b/>
          <w:bCs/>
          <w:sz w:val="36"/>
          <w:szCs w:val="36"/>
        </w:rPr>
      </w:pPr>
      <w:r>
        <w:rPr>
          <w:rFonts w:hint="eastAsia" w:ascii="楷体_GB2312" w:hAnsi="宋体" w:eastAsia="楷体_GB2312"/>
          <w:b/>
          <w:bCs/>
          <w:sz w:val="36"/>
          <w:szCs w:val="36"/>
        </w:rPr>
        <w:t>外贸“高光时刻” 能否持续？</w:t>
      </w:r>
    </w:p>
    <w:p>
      <w:pPr>
        <w:spacing w:line="440" w:lineRule="exact"/>
        <w:ind w:firstLine="723" w:firstLineChars="200"/>
        <w:rPr>
          <w:rFonts w:ascii="楷体_GB2312" w:hAnsi="宋体" w:eastAsia="楷体_GB2312"/>
          <w:b/>
          <w:bCs/>
          <w:sz w:val="36"/>
          <w:szCs w:val="36"/>
        </w:rPr>
      </w:pPr>
    </w:p>
    <w:p>
      <w:pPr>
        <w:spacing w:line="440" w:lineRule="exact"/>
        <w:ind w:firstLine="482" w:firstLineChars="200"/>
        <w:rPr>
          <w:rFonts w:ascii="Times New Roman" w:hAnsi="宋体"/>
          <w:b/>
          <w:sz w:val="24"/>
          <w:szCs w:val="24"/>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p>
    <w:p>
      <w:pPr>
        <w:spacing w:line="440" w:lineRule="exact"/>
        <w:ind w:firstLine="482" w:firstLineChars="200"/>
        <w:rPr>
          <w:rFonts w:ascii="Times New Roman" w:hAnsi="宋体"/>
          <w:b/>
          <w:sz w:val="24"/>
          <w:szCs w:val="24"/>
        </w:rPr>
      </w:pPr>
      <w:r>
        <w:rPr>
          <w:rFonts w:hint="eastAsia" w:ascii="Times New Roman" w:hAnsi="宋体"/>
          <w:b/>
          <w:sz w:val="24"/>
          <w:szCs w:val="24"/>
        </w:rPr>
        <w:t>万亿外贸，一朝梦圆。</w:t>
      </w:r>
    </w:p>
    <w:p>
      <w:pPr>
        <w:spacing w:line="440" w:lineRule="exact"/>
        <w:ind w:firstLine="480" w:firstLineChars="200"/>
        <w:rPr>
          <w:rFonts w:ascii="Times New Roman" w:hAnsi="宋体"/>
          <w:sz w:val="24"/>
          <w:szCs w:val="24"/>
        </w:rPr>
      </w:pPr>
      <w:r>
        <w:rPr>
          <w:rFonts w:hint="eastAsia" w:ascii="Times New Roman" w:hAnsi="宋体"/>
          <w:sz w:val="24"/>
          <w:szCs w:val="24"/>
        </w:rPr>
        <w:t>12月10日，宁波海关发布消息称：今年前11个月，宁波实现进出口额1.09万亿元。宁波外贸年内首次突破万亿元大关，成为继上海、深圳、北京、苏州、东莞之后，全国第6座“外贸万亿之城”。</w:t>
      </w:r>
    </w:p>
    <w:p>
      <w:pPr>
        <w:spacing w:line="440" w:lineRule="exact"/>
        <w:ind w:firstLine="480" w:firstLineChars="200"/>
        <w:rPr>
          <w:rFonts w:ascii="Times New Roman" w:hAnsi="宋体"/>
          <w:sz w:val="24"/>
          <w:szCs w:val="24"/>
        </w:rPr>
      </w:pPr>
      <w:r>
        <w:rPr>
          <w:rFonts w:hint="eastAsia" w:ascii="Times New Roman" w:hAnsi="宋体"/>
          <w:sz w:val="24"/>
          <w:szCs w:val="24"/>
        </w:rPr>
        <w:t>这是一个意料之中的结果。去年，当宁波进出口额最终定格在9786.9亿元时，各方就已有预期：只要全年增速超过2.18%，宁波外贸就能跨过万亿大关，达成外贸人多年来魂牵梦萦的“小目标”。事实证明，重压之下，宁波仅用11个月就提前“交卷”，扛起了这样的期待。</w:t>
      </w:r>
    </w:p>
    <w:p>
      <w:pPr>
        <w:spacing w:line="440" w:lineRule="exact"/>
        <w:ind w:firstLine="480" w:firstLineChars="200"/>
        <w:rPr>
          <w:rFonts w:ascii="Times New Roman" w:hAnsi="宋体"/>
          <w:sz w:val="24"/>
          <w:szCs w:val="24"/>
        </w:rPr>
      </w:pPr>
      <w:r>
        <w:rPr>
          <w:rFonts w:hint="eastAsia" w:ascii="Times New Roman" w:hAnsi="宋体"/>
          <w:sz w:val="24"/>
          <w:szCs w:val="24"/>
        </w:rPr>
        <w:t>如今，轻舟已过万重山。我们想与读者一起分享我市外贸“高光”背后的故事，更想探讨“高光时刻”该如何保持下去？</w:t>
      </w:r>
    </w:p>
    <w:p>
      <w:pPr>
        <w:spacing w:line="440" w:lineRule="exact"/>
        <w:ind w:firstLine="482" w:firstLineChars="200"/>
        <w:rPr>
          <w:rFonts w:ascii="Times New Roman" w:hAnsi="宋体"/>
          <w:b/>
          <w:sz w:val="24"/>
          <w:szCs w:val="24"/>
        </w:rPr>
      </w:pPr>
      <w:r>
        <w:rPr>
          <w:rFonts w:hint="eastAsia" w:ascii="Times New Roman" w:hAnsi="宋体"/>
          <w:b/>
          <w:sz w:val="24"/>
          <w:szCs w:val="24"/>
        </w:rPr>
        <w:t>强链补链 成功没有捷径</w:t>
      </w:r>
    </w:p>
    <w:p>
      <w:pPr>
        <w:spacing w:line="440" w:lineRule="exact"/>
        <w:ind w:firstLine="480" w:firstLineChars="200"/>
        <w:rPr>
          <w:rFonts w:ascii="Times New Roman" w:hAnsi="宋体"/>
          <w:sz w:val="24"/>
          <w:szCs w:val="24"/>
        </w:rPr>
      </w:pPr>
      <w:r>
        <w:rPr>
          <w:rFonts w:hint="eastAsia" w:ascii="Times New Roman" w:hAnsi="宋体"/>
          <w:sz w:val="24"/>
          <w:szCs w:val="24"/>
        </w:rPr>
        <w:t>万亿外贸数据刷屏的那一刻，月立集团营销中心总监厉力众正在忙着写年度总结。</w:t>
      </w:r>
    </w:p>
    <w:p>
      <w:pPr>
        <w:spacing w:line="440" w:lineRule="exact"/>
        <w:ind w:firstLine="480" w:firstLineChars="200"/>
        <w:rPr>
          <w:rFonts w:ascii="Times New Roman" w:hAnsi="宋体"/>
          <w:sz w:val="24"/>
          <w:szCs w:val="24"/>
        </w:rPr>
      </w:pPr>
      <w:r>
        <w:rPr>
          <w:rFonts w:hint="eastAsia" w:ascii="Times New Roman" w:hAnsi="宋体"/>
          <w:sz w:val="24"/>
          <w:szCs w:val="24"/>
        </w:rPr>
        <w:t>通过盘点，他发现了一组有趣的数据：今年月立小家电的产量仅比去年增加了10%，但销售额却增加了20%。这当然是可喜的对比，既有“面子”，又有“里子”。但是他比谁都清楚，这样的增加，没有捷径，也不存在侥幸。</w:t>
      </w:r>
    </w:p>
    <w:p>
      <w:pPr>
        <w:spacing w:line="440" w:lineRule="exact"/>
        <w:ind w:firstLine="480" w:firstLineChars="200"/>
        <w:rPr>
          <w:rFonts w:ascii="Times New Roman" w:hAnsi="宋体"/>
          <w:sz w:val="24"/>
          <w:szCs w:val="24"/>
        </w:rPr>
      </w:pPr>
      <w:r>
        <w:rPr>
          <w:rFonts w:hint="eastAsia" w:ascii="Times New Roman" w:hAnsi="宋体"/>
          <w:sz w:val="24"/>
          <w:szCs w:val="24"/>
        </w:rPr>
        <w:t>疫情暴发，让外贸行业自去年起就“如履薄冰”。今年，在历经原材料价格上涨，核心零部件供应紧张，企业招工难，电力供应短缺，海运集装箱提柜难、出运难等一系列“过山车式”的挑战后，不少企业开始重新审视生产、采购和销售的各个环节。</w:t>
      </w:r>
    </w:p>
    <w:p>
      <w:pPr>
        <w:spacing w:line="440" w:lineRule="exact"/>
        <w:ind w:firstLine="480" w:firstLineChars="200"/>
        <w:rPr>
          <w:rFonts w:ascii="Times New Roman" w:hAnsi="宋体"/>
          <w:sz w:val="24"/>
          <w:szCs w:val="24"/>
        </w:rPr>
      </w:pPr>
      <w:r>
        <w:rPr>
          <w:rFonts w:hint="eastAsia" w:ascii="Times New Roman" w:hAnsi="宋体"/>
          <w:sz w:val="24"/>
          <w:szCs w:val="24"/>
        </w:rPr>
        <w:t>在宁波多达2.4万家的外贸企业中，盘点全年收成，确实是“几家欢喜几家愁”，但这本质上是因为结构调整正在逐步深化。综合来看，正是众多企业顺应变化，顶住压力，注重创新驱动，不断做好提质增效，才稳住了宁波外贸基本盘。</w:t>
      </w:r>
    </w:p>
    <w:p>
      <w:pPr>
        <w:spacing w:line="440" w:lineRule="exact"/>
        <w:ind w:firstLine="480" w:firstLineChars="200"/>
        <w:rPr>
          <w:rFonts w:ascii="Times New Roman" w:hAnsi="宋体"/>
          <w:sz w:val="24"/>
          <w:szCs w:val="24"/>
        </w:rPr>
      </w:pPr>
      <w:r>
        <w:rPr>
          <w:rFonts w:hint="eastAsia" w:ascii="Times New Roman" w:hAnsi="宋体"/>
          <w:sz w:val="24"/>
          <w:szCs w:val="24"/>
        </w:rPr>
        <w:t>以月立为例，通过不断开发新产品，提高产品附加值，依靠新旧动能转换，才使产业链和供应链的稳定性和竞争力持续提升。预计月立全年出口额达2.2亿美元。</w:t>
      </w:r>
    </w:p>
    <w:p>
      <w:pPr>
        <w:spacing w:line="440" w:lineRule="exact"/>
        <w:ind w:firstLine="480" w:firstLineChars="200"/>
        <w:rPr>
          <w:rFonts w:ascii="Times New Roman" w:hAnsi="宋体"/>
          <w:sz w:val="24"/>
          <w:szCs w:val="24"/>
        </w:rPr>
      </w:pPr>
      <w:r>
        <w:rPr>
          <w:rFonts w:hint="eastAsia" w:ascii="Times New Roman" w:hAnsi="宋体"/>
          <w:sz w:val="24"/>
          <w:szCs w:val="24"/>
        </w:rPr>
        <w:t>尽管疫情仍在发酵，但完备的上下游产业配套能力是不少企业逆势增长的底气。</w:t>
      </w:r>
    </w:p>
    <w:p>
      <w:pPr>
        <w:spacing w:line="440" w:lineRule="exact"/>
        <w:ind w:firstLine="480" w:firstLineChars="200"/>
        <w:rPr>
          <w:rFonts w:ascii="Times New Roman" w:hAnsi="宋体"/>
          <w:sz w:val="24"/>
          <w:szCs w:val="24"/>
        </w:rPr>
      </w:pPr>
      <w:r>
        <w:rPr>
          <w:rFonts w:hint="eastAsia" w:ascii="Times New Roman" w:hAnsi="宋体"/>
          <w:sz w:val="24"/>
          <w:szCs w:val="24"/>
        </w:rPr>
        <w:t>“虽是代工，但利润率做到了品牌方的2倍！”申洲国际集团控股有限公司董事局主席马建荣一直引以为傲。按照常规理解，代工属于附加值较低的产业，赚大钱的应该是品牌方。放眼全国，代工企业也呈不断萎缩态势。然而，作为全球纵向一体化针织制造龙头，申洲正重新定义“代工”。2015年以来，公司毛利率一直维持在30%左右。</w:t>
      </w:r>
    </w:p>
    <w:p>
      <w:pPr>
        <w:spacing w:line="440" w:lineRule="exact"/>
        <w:ind w:firstLine="480" w:firstLineChars="200"/>
        <w:rPr>
          <w:rFonts w:ascii="Times New Roman" w:hAnsi="宋体"/>
          <w:sz w:val="24"/>
          <w:szCs w:val="24"/>
        </w:rPr>
      </w:pPr>
      <w:r>
        <w:rPr>
          <w:rFonts w:hint="eastAsia" w:ascii="Times New Roman" w:hAnsi="宋体"/>
          <w:sz w:val="24"/>
          <w:szCs w:val="24"/>
        </w:rPr>
        <w:t>事实也证明，疫情之下，通过产业链竞争力持续强化，申洲有效抵御了疫情短期扰动。国盛证券研报预计，其全年产量增速近10%。</w:t>
      </w:r>
    </w:p>
    <w:p>
      <w:pPr>
        <w:spacing w:line="440" w:lineRule="exact"/>
        <w:ind w:firstLine="482" w:firstLineChars="200"/>
        <w:rPr>
          <w:rFonts w:ascii="Times New Roman" w:hAnsi="宋体"/>
          <w:b/>
          <w:sz w:val="24"/>
          <w:szCs w:val="24"/>
        </w:rPr>
      </w:pPr>
      <w:r>
        <w:rPr>
          <w:rFonts w:hint="eastAsia" w:ascii="Times New Roman" w:hAnsi="宋体"/>
          <w:b/>
          <w:sz w:val="24"/>
          <w:szCs w:val="24"/>
        </w:rPr>
        <w:t>求新求变 共迎高光时刻</w:t>
      </w:r>
    </w:p>
    <w:p>
      <w:pPr>
        <w:spacing w:line="440" w:lineRule="exact"/>
        <w:ind w:firstLine="480" w:firstLineChars="200"/>
        <w:rPr>
          <w:rFonts w:ascii="Times New Roman" w:hAnsi="宋体"/>
          <w:sz w:val="24"/>
          <w:szCs w:val="24"/>
        </w:rPr>
      </w:pPr>
      <w:r>
        <w:rPr>
          <w:rFonts w:hint="eastAsia" w:ascii="Times New Roman" w:hAnsi="宋体"/>
          <w:sz w:val="24"/>
          <w:szCs w:val="24"/>
        </w:rPr>
        <w:t>疫情之下，人们发现，除传统出海渠道外，在外贸“新赛道”上，跨境电商已经成为宁波外贸实现高质量发展的主要路径之一。</w:t>
      </w:r>
    </w:p>
    <w:p>
      <w:pPr>
        <w:spacing w:line="440" w:lineRule="exact"/>
        <w:ind w:firstLine="480" w:firstLineChars="200"/>
        <w:rPr>
          <w:rFonts w:ascii="Times New Roman" w:hAnsi="宋体"/>
          <w:sz w:val="24"/>
          <w:szCs w:val="24"/>
        </w:rPr>
      </w:pPr>
      <w:r>
        <w:rPr>
          <w:rFonts w:hint="eastAsia" w:ascii="Times New Roman" w:hAnsi="宋体"/>
          <w:sz w:val="24"/>
          <w:szCs w:val="24"/>
        </w:rPr>
        <w:t>“随着欧美市场需求的回暖和国内运输能力的全面恢复，宁波企业在一定程度上填补了东南亚等国家的出口空缺。”宁波世贸通副总经理孔泽昊从平台数据中察觉出了一个亮眼的变化：1月至11月，跨境电商出口额同比大幅增长80%。</w:t>
      </w:r>
    </w:p>
    <w:p>
      <w:pPr>
        <w:spacing w:line="440" w:lineRule="exact"/>
        <w:ind w:firstLine="480" w:firstLineChars="200"/>
        <w:rPr>
          <w:rFonts w:ascii="Times New Roman" w:hAnsi="宋体"/>
          <w:sz w:val="24"/>
          <w:szCs w:val="24"/>
        </w:rPr>
      </w:pPr>
      <w:r>
        <w:rPr>
          <w:rFonts w:hint="eastAsia" w:ascii="Times New Roman" w:hAnsi="宋体"/>
          <w:sz w:val="24"/>
          <w:szCs w:val="24"/>
        </w:rPr>
        <w:t>除了在国外跨境电商渠道大力推进自主品牌，乐歌股份还看中了海外仓在未来整个外贸生态中的价值。据介绍，乐歌股份布局的海外仓目前管理面积为26万平方米，其中70%可对外租用，境外仓储物流体系建设正在有序推进中。乐歌股份董事长项乐宏介绍，未来，乐歌股份在整个价值链中将拥有很大的议价能力，希望为中小企业品牌出海提供更高性价比的服务。</w:t>
      </w:r>
    </w:p>
    <w:p>
      <w:pPr>
        <w:spacing w:line="440" w:lineRule="exact"/>
        <w:ind w:firstLine="480" w:firstLineChars="200"/>
        <w:rPr>
          <w:rFonts w:ascii="Times New Roman" w:hAnsi="宋体"/>
          <w:sz w:val="24"/>
          <w:szCs w:val="24"/>
        </w:rPr>
      </w:pPr>
      <w:r>
        <w:rPr>
          <w:rFonts w:hint="eastAsia" w:ascii="Times New Roman" w:hAnsi="宋体"/>
          <w:sz w:val="24"/>
          <w:szCs w:val="24"/>
        </w:rPr>
        <w:t>与此同时，我国推动国内国际双循环、开启新发展格局蕴含的机遇，也吸引了不少外贸企业“向内看”。</w:t>
      </w:r>
    </w:p>
    <w:p>
      <w:pPr>
        <w:spacing w:line="440" w:lineRule="exact"/>
        <w:ind w:firstLine="480" w:firstLineChars="200"/>
        <w:rPr>
          <w:rFonts w:ascii="Times New Roman" w:hAnsi="宋体"/>
          <w:sz w:val="24"/>
          <w:szCs w:val="24"/>
        </w:rPr>
      </w:pPr>
      <w:r>
        <w:rPr>
          <w:rFonts w:hint="eastAsia" w:ascii="Times New Roman" w:hAnsi="宋体"/>
          <w:sz w:val="24"/>
          <w:szCs w:val="24"/>
        </w:rPr>
        <w:t>宁兴优贝国际贸易有限公司将大部分注意力放在跨境电商进口上。“这两年，我们一边为舶来品添上中国元素，利用供应链优势将线上爆款铺开，一边将从爆款中吸取的国外品牌成功经验反哺企业自身。”宁兴优贝国际贸易有限公司总经理施晨佳说。</w:t>
      </w:r>
    </w:p>
    <w:p>
      <w:pPr>
        <w:spacing w:line="440" w:lineRule="exact"/>
        <w:ind w:firstLine="480" w:firstLineChars="200"/>
        <w:rPr>
          <w:rFonts w:ascii="Times New Roman" w:hAnsi="宋体"/>
          <w:sz w:val="24"/>
          <w:szCs w:val="24"/>
        </w:rPr>
      </w:pPr>
      <w:r>
        <w:rPr>
          <w:rFonts w:hint="eastAsia" w:ascii="Times New Roman" w:hAnsi="宋体"/>
          <w:sz w:val="24"/>
          <w:szCs w:val="24"/>
        </w:rPr>
        <w:t>1月至11月，宁兴优贝进出口额8.78亿美元，其中进口额8.34亿美元，发货单量已超3300万单，光在“双十一”期间就发货496万单，货值高达8亿元人民币。</w:t>
      </w:r>
    </w:p>
    <w:p>
      <w:pPr>
        <w:spacing w:line="440" w:lineRule="exact"/>
        <w:ind w:firstLine="482" w:firstLineChars="200"/>
        <w:rPr>
          <w:rFonts w:ascii="Times New Roman" w:hAnsi="宋体"/>
          <w:b/>
          <w:sz w:val="24"/>
          <w:szCs w:val="24"/>
        </w:rPr>
      </w:pPr>
      <w:r>
        <w:rPr>
          <w:rFonts w:hint="eastAsia" w:ascii="Times New Roman" w:hAnsi="宋体"/>
          <w:b/>
          <w:sz w:val="24"/>
          <w:szCs w:val="24"/>
        </w:rPr>
        <w:t>万亿之后 携手稳中求进</w:t>
      </w:r>
    </w:p>
    <w:p>
      <w:pPr>
        <w:spacing w:line="440" w:lineRule="exact"/>
        <w:ind w:firstLine="480" w:firstLineChars="200"/>
        <w:rPr>
          <w:rFonts w:ascii="Times New Roman" w:hAnsi="宋体"/>
          <w:sz w:val="24"/>
          <w:szCs w:val="24"/>
        </w:rPr>
      </w:pPr>
      <w:r>
        <w:rPr>
          <w:rFonts w:hint="eastAsia" w:ascii="Times New Roman" w:hAnsi="宋体"/>
          <w:sz w:val="24"/>
          <w:szCs w:val="24"/>
        </w:rPr>
        <w:t>破万亿之后，一个不容忽视的问题是，外贸“高光时刻”能持续多久？</w:t>
      </w:r>
    </w:p>
    <w:p>
      <w:pPr>
        <w:spacing w:line="440" w:lineRule="exact"/>
        <w:ind w:firstLine="480" w:firstLineChars="200"/>
        <w:rPr>
          <w:rFonts w:ascii="Times New Roman" w:hAnsi="宋体"/>
          <w:sz w:val="24"/>
          <w:szCs w:val="24"/>
        </w:rPr>
      </w:pPr>
      <w:r>
        <w:rPr>
          <w:rFonts w:hint="eastAsia" w:ascii="Times New Roman" w:hAnsi="宋体"/>
          <w:sz w:val="24"/>
          <w:szCs w:val="24"/>
        </w:rPr>
        <w:t>“以企业为单元”“企业集团加工贸易监管改革”……前段时间，这些新词汇在北仑区制造企业间流行。原本看似复杂的政策举措，在宁波海关所属北仑海关的解读下得以在企业付诸实施，借着加工贸易新模式的“东风”，带动制造行业转型升级。</w:t>
      </w:r>
    </w:p>
    <w:p>
      <w:pPr>
        <w:spacing w:line="440" w:lineRule="exact"/>
        <w:ind w:firstLine="480" w:firstLineChars="200"/>
        <w:rPr>
          <w:rFonts w:ascii="Times New Roman" w:hAnsi="宋体"/>
          <w:sz w:val="24"/>
          <w:szCs w:val="24"/>
        </w:rPr>
      </w:pPr>
      <w:r>
        <w:rPr>
          <w:rFonts w:hint="eastAsia" w:ascii="Times New Roman" w:hAnsi="宋体"/>
          <w:sz w:val="24"/>
          <w:szCs w:val="24"/>
        </w:rPr>
        <w:t>宁波上中下自动变速器有限公司是吉利集团旗下一家变速器及其零部件研发制造公司，受疫情影响，企业进口原料无法及时运抵工厂，资金压力巨大。在北仑海关的引导下，企业开拓了加工贸易业务，并采用“以企业为单元”加工贸易新监管模式，大大提高了企业的生产和管理效率。今年1月至10月，该企业加工贸易进出口值高达1.03亿美元，综合节约各项税费884万元。</w:t>
      </w:r>
    </w:p>
    <w:p>
      <w:pPr>
        <w:spacing w:line="440" w:lineRule="exact"/>
        <w:ind w:firstLine="480" w:firstLineChars="200"/>
        <w:rPr>
          <w:rFonts w:ascii="Times New Roman" w:hAnsi="宋体"/>
          <w:sz w:val="24"/>
          <w:szCs w:val="24"/>
        </w:rPr>
      </w:pPr>
      <w:r>
        <w:rPr>
          <w:rFonts w:hint="eastAsia" w:ascii="Times New Roman" w:hAnsi="宋体"/>
          <w:sz w:val="24"/>
          <w:szCs w:val="24"/>
        </w:rPr>
        <w:t>“立足万亿新起点，宁波海关希望通过改革创新，大力支持跨境电商、综保区等贸易新业态发展，为要素流动打开通路、疏通堵点。”宁波海关相关负责人说，随着全球疫情逐步得到控制，复工复产加速，海关希望引导企业用好税收优惠等各类惠企政策，在稳住规模的同时，精准帮扶特色产业发展，帮助形成外贸发展新的增长点。</w:t>
      </w:r>
    </w:p>
    <w:p>
      <w:pPr>
        <w:spacing w:line="440" w:lineRule="exact"/>
        <w:ind w:firstLine="482" w:firstLineChars="200"/>
        <w:rPr>
          <w:rFonts w:ascii="Times New Roman" w:hAnsi="宋体"/>
          <w:b/>
          <w:sz w:val="24"/>
          <w:szCs w:val="24"/>
        </w:rPr>
      </w:pPr>
      <w:r>
        <w:rPr>
          <w:rFonts w:hint="eastAsia" w:ascii="Times New Roman" w:hAnsi="宋体"/>
          <w:b/>
          <w:sz w:val="24"/>
          <w:szCs w:val="24"/>
        </w:rPr>
        <w:t>更深一层的布局也即将落子。</w:t>
      </w:r>
    </w:p>
    <w:p>
      <w:pPr>
        <w:spacing w:line="440" w:lineRule="exact"/>
        <w:ind w:firstLine="480" w:firstLineChars="200"/>
        <w:rPr>
          <w:rFonts w:ascii="Times New Roman" w:hAnsi="宋体"/>
          <w:sz w:val="24"/>
          <w:szCs w:val="24"/>
        </w:rPr>
      </w:pPr>
      <w:r>
        <w:rPr>
          <w:rFonts w:hint="eastAsia" w:ascii="Times New Roman" w:hAnsi="宋体"/>
          <w:sz w:val="24"/>
          <w:szCs w:val="24"/>
        </w:rPr>
        <w:t>“当前，宁波共有19个国家级外贸转型升级基地，居全国第一，获评2020年度‘浙江出口名牌’83个，居全省第一。宁波入选的国家级制造业单项冠军达45家，居全国各城市首位。此外，我市还拥有182家国家级专精特新‘小巨人’企业，在全国城市中排名第三。”市商务局相关负责人告诉记者，下一步，我市将从做好品牌出海、培养供应链链主企业，以及全方位提升进口质量、促进制造业升级的角度，着眼于打通贸易端和生产端，推动外贸进出口和本地制造业的深度融合，稳中求进，稳增提质。（宁波日报12-13）</w:t>
      </w:r>
    </w:p>
    <w:p>
      <w:pPr>
        <w:spacing w:line="440" w:lineRule="exact"/>
        <w:ind w:firstLine="480" w:firstLineChars="200"/>
        <w:rPr>
          <w:rFonts w:ascii="宋体"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500" w:lineRule="exact"/>
        <w:jc w:val="center"/>
        <w:rPr>
          <w:b/>
          <w:bCs/>
          <w:color w:val="000000"/>
        </w:rPr>
      </w:pPr>
      <w:r>
        <w:rPr>
          <w:rFonts w:hint="eastAsia" w:ascii="楷体_GB2312" w:hAnsi="宋体" w:eastAsia="楷体_GB2312"/>
          <w:b/>
          <w:bCs/>
          <w:sz w:val="36"/>
          <w:szCs w:val="36"/>
        </w:rPr>
        <w:t>RCEP生效倒计时！线上培训向甬企科普新商机</w:t>
      </w:r>
    </w:p>
    <w:p>
      <w:pPr>
        <w:spacing w:line="440" w:lineRule="exact"/>
        <w:ind w:firstLine="422" w:firstLineChars="200"/>
        <w:jc w:val="center"/>
        <w:rPr>
          <w:b/>
          <w:bCs/>
          <w:color w:val="000000"/>
        </w:rPr>
      </w:pPr>
    </w:p>
    <w:p>
      <w:pPr>
        <w:spacing w:line="440" w:lineRule="exact"/>
        <w:ind w:firstLine="480" w:firstLineChars="200"/>
        <w:jc w:val="center"/>
        <w:rPr>
          <w:rFonts w:ascii="宋体"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宋体" w:hAnsi="宋体"/>
          <w:sz w:val="24"/>
          <w:szCs w:val="24"/>
        </w:rPr>
      </w:pPr>
      <w:r>
        <w:rPr>
          <w:rFonts w:hint="eastAsia" w:ascii="宋体" w:hAnsi="宋体"/>
          <w:sz w:val="24"/>
          <w:szCs w:val="24"/>
        </w:rPr>
        <w:t>全球规模最大的自由贸易协定来了！2022年1月1日，区域全面经济伙伴关系协定（RCEP），将于已核准的10个成员国开始生效，对进一步推动区域内自由贸易、稳定产业链供应链、促进中国高水平开放具有重要意义。</w:t>
      </w:r>
    </w:p>
    <w:p>
      <w:pPr>
        <w:spacing w:line="440" w:lineRule="exact"/>
        <w:ind w:firstLine="480" w:firstLineChars="200"/>
        <w:rPr>
          <w:rFonts w:ascii="宋体" w:hAnsi="宋体"/>
          <w:sz w:val="24"/>
          <w:szCs w:val="24"/>
        </w:rPr>
      </w:pPr>
      <w:r>
        <w:rPr>
          <w:rFonts w:hint="eastAsia" w:ascii="宋体" w:hAnsi="宋体"/>
          <w:sz w:val="24"/>
          <w:szCs w:val="24"/>
        </w:rPr>
        <w:t>12月29日，就在RCEP生效进入倒计时之际，宁波市商务局、宁波海关、宁波市贸促会联合举办“宁波RCEP业务实操培训”，通过线上专家直播课程，为数千名宁波外贸人“科普”抢抓RCEP新机遇、布局多元化国际市场的办法。</w:t>
      </w:r>
    </w:p>
    <w:p>
      <w:pPr>
        <w:spacing w:line="440" w:lineRule="exact"/>
        <w:ind w:firstLine="480" w:firstLineChars="200"/>
        <w:rPr>
          <w:rFonts w:ascii="宋体" w:hAnsi="宋体"/>
          <w:sz w:val="24"/>
          <w:szCs w:val="24"/>
        </w:rPr>
      </w:pPr>
      <w:r>
        <w:rPr>
          <w:rFonts w:hint="eastAsia" w:ascii="宋体" w:hAnsi="宋体"/>
          <w:sz w:val="24"/>
          <w:szCs w:val="24"/>
        </w:rPr>
        <w:t>说起RCEP生效最直观的好处之一，当属关税减让，帮企业省下“真金白银”。宁波海关关税处原产地科科长杨洁开宗明义地指出：“协定生效后，区域内总体90%以上的货物贸易将最终实现零关税。RCEP各缔约方适用的关税承诺表，分为‘统一减让’和‘国别减让’两大类，降税模式有立即降为零、过渡期降为零、部分降税、例外产品等。”</w:t>
      </w:r>
    </w:p>
    <w:p>
      <w:pPr>
        <w:spacing w:line="440" w:lineRule="exact"/>
        <w:ind w:firstLine="480" w:firstLineChars="200"/>
        <w:rPr>
          <w:rFonts w:ascii="宋体" w:hAnsi="宋体"/>
          <w:sz w:val="24"/>
          <w:szCs w:val="24"/>
        </w:rPr>
      </w:pPr>
      <w:r>
        <w:rPr>
          <w:rFonts w:hint="eastAsia" w:ascii="宋体" w:hAnsi="宋体"/>
          <w:sz w:val="24"/>
          <w:szCs w:val="24"/>
        </w:rPr>
        <w:t>杨洁举了日本的例子——RCEP协定生效后，中国对日本的矿产品、化工品、电气设备进口关税将立即降为零，对从事中日贸易的甬企带来优惠。同时，不少宁波消费者都爱吃日本料理，中国对日本牡蛎（蚝）、扇贝的进口关税，将在RCEP生效的10年内每年下调，直至第11年降为零，为“吃货们”带来利好。</w:t>
      </w:r>
    </w:p>
    <w:p>
      <w:pPr>
        <w:spacing w:line="440" w:lineRule="exact"/>
        <w:ind w:firstLine="480" w:firstLineChars="200"/>
        <w:rPr>
          <w:rFonts w:ascii="宋体" w:hAnsi="宋体"/>
          <w:sz w:val="24"/>
          <w:szCs w:val="24"/>
        </w:rPr>
      </w:pPr>
      <w:r>
        <w:rPr>
          <w:rFonts w:hint="eastAsia" w:ascii="宋体" w:hAnsi="宋体"/>
          <w:sz w:val="24"/>
          <w:szCs w:val="24"/>
        </w:rPr>
        <w:t>那么，什么样的货物可以享受RCEP优惠？杨洁表示，进口人申请享受优惠关税待遇，需在报关单上申明该货物具备原产资格，申明时需持有有效的原产地证明，按要求提交原产地证明正本或经认证的真实副本，并且能够提供相关文件，证明货物满足直接运输的需求。</w:t>
      </w:r>
    </w:p>
    <w:p>
      <w:pPr>
        <w:spacing w:line="440" w:lineRule="exact"/>
        <w:ind w:firstLine="480" w:firstLineChars="200"/>
        <w:rPr>
          <w:rFonts w:ascii="宋体" w:hAnsi="宋体"/>
          <w:sz w:val="24"/>
          <w:szCs w:val="24"/>
        </w:rPr>
      </w:pPr>
      <w:r>
        <w:rPr>
          <w:rFonts w:hint="eastAsia" w:ascii="宋体" w:hAnsi="宋体"/>
          <w:sz w:val="24"/>
          <w:szCs w:val="24"/>
        </w:rPr>
        <w:t>“宁波的进出口企业应主动积极了解RCEP原产地规则，将原产地规则纳入企业产品的生产管理、出口管理，根据原产地实体性规则，测算产品是否具备RCEP原产规则、是否合规，并在有效期内提交到进口国海关，获得关税优惠。”宁波市贸促会商事认定中心主任麻琳介绍说。</w:t>
      </w:r>
    </w:p>
    <w:p>
      <w:pPr>
        <w:spacing w:line="440" w:lineRule="exact"/>
        <w:ind w:firstLine="480" w:firstLineChars="200"/>
        <w:rPr>
          <w:rFonts w:ascii="宋体" w:hAnsi="宋体"/>
          <w:sz w:val="24"/>
          <w:szCs w:val="24"/>
        </w:rPr>
      </w:pPr>
      <w:r>
        <w:rPr>
          <w:rFonts w:hint="eastAsia" w:ascii="宋体" w:hAnsi="宋体"/>
          <w:sz w:val="24"/>
          <w:szCs w:val="24"/>
        </w:rPr>
        <w:t>RCEP的东风不仅助力货物贸易，还有利于宁波产业链进一步集聚优化，为“引进来”、“走出去”提供便利。中国银行宁波分行交易银行部经理张泓指出，宁波在针织一体化供应链、石油化工、电子商务等领域展现的实力，与东盟在来料加工领域积累多年的比较优势，正好可以互为助攻，为区域投资带来机会。</w:t>
      </w:r>
    </w:p>
    <w:p>
      <w:pPr>
        <w:spacing w:line="440" w:lineRule="exact"/>
        <w:ind w:firstLine="480" w:firstLineChars="200"/>
        <w:rPr>
          <w:rFonts w:ascii="宋体" w:hAnsi="宋体"/>
          <w:sz w:val="24"/>
          <w:szCs w:val="24"/>
        </w:rPr>
      </w:pPr>
      <w:r>
        <w:rPr>
          <w:rFonts w:hint="eastAsia" w:ascii="宋体" w:hAnsi="宋体"/>
          <w:sz w:val="24"/>
          <w:szCs w:val="24"/>
        </w:rPr>
        <w:t>张泓认为，RCEP的生效还为人民币国际化带来重大利好。东南亚是离岸人民币业务先行先试区之一，印尼、马来西亚、泰国、菲律宾等国均与中国签署双边本币结算协议，形成互惠互利货币合作关系。随着RCEP区域协作程度不断发展，中国的超大市场规模优势和制造业全产业链发展优势，将发挥更大的潜力。</w:t>
      </w:r>
    </w:p>
    <w:p>
      <w:pPr>
        <w:spacing w:line="440" w:lineRule="exact"/>
        <w:ind w:firstLine="480" w:firstLineChars="200"/>
        <w:rPr>
          <w:rFonts w:ascii="宋体" w:hAnsi="宋体"/>
          <w:sz w:val="24"/>
          <w:szCs w:val="24"/>
        </w:rPr>
      </w:pPr>
      <w:r>
        <w:rPr>
          <w:rFonts w:hint="eastAsia" w:ascii="宋体" w:hAnsi="宋体"/>
          <w:sz w:val="24"/>
          <w:szCs w:val="24"/>
        </w:rPr>
        <w:t>一直以来，RCEP成员国都是宁波重要的国际经贸合作伙伴。今年1-10月，宁波与RCEP成员国进出口贸易额为2591.3亿元，同比增长17.4%；在跨境电商领域，宁波从RCEP成员国进口额约占全市比重的50.73%；在投资领域，宁波对RCEP国家投资额75.5亿美元，约占全市总量的27.38%。</w:t>
      </w:r>
    </w:p>
    <w:p>
      <w:pPr>
        <w:spacing w:line="440" w:lineRule="exact"/>
        <w:ind w:firstLine="480" w:firstLineChars="200"/>
        <w:rPr>
          <w:rFonts w:ascii="宋体" w:hAnsi="宋体"/>
          <w:sz w:val="24"/>
          <w:szCs w:val="24"/>
        </w:rPr>
      </w:pPr>
      <w:r>
        <w:rPr>
          <w:rFonts w:hint="eastAsia" w:ascii="宋体" w:hAnsi="宋体"/>
          <w:sz w:val="24"/>
          <w:szCs w:val="24"/>
        </w:rPr>
        <w:t>另有数据显示，今年1-11月，中国信保宁波公司对RCEP成员国承保规模达25.7亿美元，同比增长26%，排名前三的成员国分别是澳大利亚（5.94亿美元）、韩国（3.25亿美元）、新加坡（3.025亿美元）。2021年，宁波信保还为宁波28家企业的42个RCEP成员国海外投资项目，累计提供6.14亿美元的风险保障或融资支持。</w:t>
      </w:r>
    </w:p>
    <w:p>
      <w:pPr>
        <w:spacing w:line="440" w:lineRule="exact"/>
        <w:ind w:firstLine="480" w:firstLineChars="200"/>
        <w:rPr>
          <w:rFonts w:ascii="宋体" w:hAnsi="宋体"/>
          <w:sz w:val="24"/>
          <w:szCs w:val="24"/>
        </w:rPr>
      </w:pPr>
      <w:r>
        <w:rPr>
          <w:rFonts w:hint="eastAsia" w:ascii="宋体" w:hAnsi="宋体"/>
          <w:sz w:val="24"/>
          <w:szCs w:val="24"/>
        </w:rPr>
        <w:t>“RCEP的生效，必然会从多方面促进宁波对外贸易、双向投资的发展，为宁波建设‘双循环’枢纽城市、推动新一轮高水平开放、开拓国际合作新局面带来机遇。”宁波市商务局相关负责人表示。（宁波晚报12-29）</w:t>
      </w:r>
    </w:p>
    <w:p>
      <w:pPr>
        <w:spacing w:line="440" w:lineRule="exact"/>
        <w:ind w:firstLine="420" w:firstLineChars="200"/>
        <w:jc w:val="center"/>
        <w:sectPr>
          <w:type w:val="continuous"/>
          <w:pgSz w:w="11906" w:h="16838"/>
          <w:pgMar w:top="1440" w:right="1800" w:bottom="1440" w:left="1800" w:header="851" w:footer="992" w:gutter="0"/>
          <w:cols w:space="425" w:num="2"/>
          <w:docGrid w:type="lines" w:linePitch="312" w:charSpace="0"/>
        </w:sectPr>
      </w:pPr>
    </w:p>
    <w:p>
      <w:pPr>
        <w:spacing w:line="440" w:lineRule="exact"/>
        <w:ind w:firstLine="420" w:firstLineChars="200"/>
        <w:jc w:val="center"/>
      </w:pPr>
    </w:p>
    <w:p>
      <w:pPr>
        <w:spacing w:line="440" w:lineRule="exact"/>
        <w:ind w:firstLine="480" w:firstLineChars="200"/>
        <w:jc w:val="center"/>
        <w:rPr>
          <w:rFonts w:ascii="宋体" w:hAnsi="宋体"/>
          <w:sz w:val="24"/>
          <w:szCs w:val="24"/>
        </w:rPr>
      </w:pPr>
    </w:p>
    <w:p>
      <w:pPr>
        <w:spacing w:line="440" w:lineRule="exact"/>
        <w:ind w:firstLine="480" w:firstLineChars="200"/>
        <w:jc w:val="center"/>
        <w:rPr>
          <w:rFonts w:ascii="宋体"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RCEP能否开启宁波下一个“黄金20年”</w:t>
      </w: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宋体" w:hAnsi="宋体"/>
          <w:sz w:val="24"/>
          <w:szCs w:val="24"/>
        </w:rPr>
      </w:pPr>
      <w:r>
        <w:rPr>
          <w:rFonts w:hint="eastAsia" w:ascii="宋体" w:hAnsi="宋体"/>
          <w:sz w:val="24"/>
          <w:szCs w:val="24"/>
        </w:rPr>
        <w:t>RCEP（《区域全面经济伙伴关系协定》）1月1日将在中国、日本、新西兰、澳大利亚及文莱、柬埔寨、老挝、新加坡、泰国、越南等6个东盟成员国率先生效。这标志着当前世界上人口最多、成员结构最多元、经贸规模最大、最具发展潜力的自由贸易区正式启航。</w:t>
      </w:r>
    </w:p>
    <w:p>
      <w:pPr>
        <w:spacing w:line="440" w:lineRule="exact"/>
        <w:ind w:firstLine="480" w:firstLineChars="200"/>
        <w:rPr>
          <w:rFonts w:ascii="宋体" w:hAnsi="宋体"/>
          <w:sz w:val="24"/>
          <w:szCs w:val="24"/>
        </w:rPr>
      </w:pPr>
      <w:r>
        <w:rPr>
          <w:rFonts w:hint="eastAsia" w:ascii="宋体" w:hAnsi="宋体"/>
          <w:sz w:val="24"/>
          <w:szCs w:val="24"/>
        </w:rPr>
        <w:t>万众瞩目的当下，宁波捕捉到了一个历史性的“巧合”：20年前的那个岁末，中国加入世贸组织。从那以后，宁波年进出口额节节上升，从2001年的88.9亿美元增至今年的逾1600亿美元，并一举超越广州，晋级全国第六座万亿外贸之城，书写了极不寻常的辉煌。</w:t>
      </w:r>
    </w:p>
    <w:p>
      <w:pPr>
        <w:spacing w:line="440" w:lineRule="exact"/>
        <w:ind w:firstLine="480" w:firstLineChars="200"/>
        <w:rPr>
          <w:rFonts w:ascii="宋体" w:hAnsi="宋体"/>
          <w:sz w:val="24"/>
          <w:szCs w:val="24"/>
        </w:rPr>
      </w:pPr>
      <w:r>
        <w:rPr>
          <w:rFonts w:hint="eastAsia" w:ascii="宋体" w:hAnsi="宋体"/>
          <w:sz w:val="24"/>
          <w:szCs w:val="24"/>
        </w:rPr>
        <w:t>20年后，作为我国新一轮对外开放和制度型开放的重要起点，RCEP的“无缝对接”，能否开启宁波开放型经济的下一个“黄金20年”？</w:t>
      </w:r>
    </w:p>
    <w:p>
      <w:pPr>
        <w:spacing w:line="440" w:lineRule="exact"/>
        <w:ind w:firstLine="482" w:firstLineChars="200"/>
        <w:rPr>
          <w:rFonts w:hint="eastAsia" w:ascii="宋体" w:hAnsi="宋体"/>
          <w:b/>
          <w:sz w:val="24"/>
          <w:szCs w:val="24"/>
        </w:rPr>
      </w:pPr>
      <w:r>
        <w:rPr>
          <w:rFonts w:hint="eastAsia" w:ascii="宋体" w:hAnsi="宋体"/>
          <w:b/>
          <w:sz w:val="24"/>
          <w:szCs w:val="24"/>
        </w:rPr>
        <w:t>必答题 竞合不止于“蛇吞象”</w:t>
      </w:r>
    </w:p>
    <w:p>
      <w:pPr>
        <w:spacing w:line="440" w:lineRule="exact"/>
        <w:ind w:firstLine="480" w:firstLineChars="200"/>
        <w:rPr>
          <w:rFonts w:ascii="宋体" w:hAnsi="宋体"/>
          <w:sz w:val="24"/>
          <w:szCs w:val="24"/>
        </w:rPr>
      </w:pPr>
      <w:r>
        <w:rPr>
          <w:rFonts w:hint="eastAsia" w:ascii="宋体" w:hAnsi="宋体"/>
          <w:sz w:val="24"/>
          <w:szCs w:val="24"/>
        </w:rPr>
        <w:t>“看我身后，这片灯光闪烁的地方，以前是片荒地，现在已经变成了印尼乃至全球最重要的镍钴生产基地！”20日傍晚，采访的实时画面里，宁波力勤资源OBI岛园区副总经理胡红根正身着短袖，一脸自豪地向记者展示“点石成金”的奇迹。</w:t>
      </w:r>
    </w:p>
    <w:p>
      <w:pPr>
        <w:spacing w:line="440" w:lineRule="exact"/>
        <w:ind w:firstLine="480" w:firstLineChars="200"/>
        <w:rPr>
          <w:rFonts w:ascii="宋体" w:hAnsi="宋体"/>
          <w:sz w:val="24"/>
          <w:szCs w:val="24"/>
        </w:rPr>
      </w:pPr>
      <w:r>
        <w:rPr>
          <w:rFonts w:hint="eastAsia" w:ascii="宋体" w:hAnsi="宋体"/>
          <w:sz w:val="24"/>
          <w:szCs w:val="24"/>
        </w:rPr>
        <w:t>过去5年间，这家宁波公司的镍矿贸易和海运量占到全国总进口量的四分之一以上，是中国最大的镍矿进口企业。其海外业务主要分布于印尼、菲律宾、马来西亚等RCEP成员国。今年，力勤和印尼合作伙伴投资20亿美元建设的一期镍钴项目投产，获评浙江省“一带一路”重大建设项目，同时还入选印尼国家战略投资项目。今年6月23日，第一批5500吨氢氧化镍钴已经启运出口。</w:t>
      </w:r>
    </w:p>
    <w:p>
      <w:pPr>
        <w:spacing w:line="440" w:lineRule="exact"/>
        <w:ind w:firstLine="480" w:firstLineChars="200"/>
        <w:rPr>
          <w:rFonts w:ascii="宋体" w:hAnsi="宋体"/>
          <w:sz w:val="24"/>
          <w:szCs w:val="24"/>
        </w:rPr>
      </w:pPr>
      <w:r>
        <w:rPr>
          <w:rFonts w:hint="eastAsia" w:ascii="宋体" w:hAnsi="宋体"/>
          <w:sz w:val="24"/>
          <w:szCs w:val="24"/>
        </w:rPr>
        <w:t>岁末年初，又翻新篇。RCEP的实施，让该公司董事长蔡建勇对下一步规划更加笃定。在他看来，协定的实施，本身就是一次“双循环”的多方共赢：不仅将进一步推动印尼资源开发利用，为中间产品回运中日韩提供便利；同时，在中国生产的电池也可以享受优惠关税出口至整个RCEP覆盖区域，在这个全球占比高达30%的大市场，让资源、技术、资金和市场得到更优配置。力勤的海外项目和现有的贸易业务将直接受益于此。</w:t>
      </w:r>
    </w:p>
    <w:p>
      <w:pPr>
        <w:spacing w:line="440" w:lineRule="exact"/>
        <w:ind w:firstLine="480" w:firstLineChars="200"/>
        <w:rPr>
          <w:rFonts w:ascii="宋体" w:hAnsi="宋体"/>
          <w:sz w:val="24"/>
          <w:szCs w:val="24"/>
        </w:rPr>
      </w:pPr>
      <w:r>
        <w:rPr>
          <w:rFonts w:hint="eastAsia" w:ascii="宋体" w:hAnsi="宋体"/>
          <w:sz w:val="24"/>
          <w:szCs w:val="24"/>
        </w:rPr>
        <w:t>据市商务局统计，近年来，我市纺织服装、文具、机电等传统产业向东南亚投资步伐较快。截至今年10月，我市对RCEP成员国的投资额为75.5亿美元，占全市总量的27.38%。从区域看，我市企业对日本、新加坡、越南、澳大利亚等国家投资较多。纺织服装、汽车零部件、采矿业等优势产业是我市企业赴RCEP成员国投资的主要方向。</w:t>
      </w:r>
    </w:p>
    <w:p>
      <w:pPr>
        <w:spacing w:line="440" w:lineRule="exact"/>
        <w:ind w:firstLine="480" w:firstLineChars="200"/>
        <w:rPr>
          <w:rFonts w:ascii="宋体" w:hAnsi="宋体"/>
          <w:sz w:val="24"/>
          <w:szCs w:val="24"/>
        </w:rPr>
      </w:pPr>
      <w:r>
        <w:rPr>
          <w:rFonts w:hint="eastAsia" w:ascii="宋体" w:hAnsi="宋体"/>
          <w:sz w:val="24"/>
          <w:szCs w:val="24"/>
        </w:rPr>
        <w:t>当更大范围的资源优化配置变为竞合中的一道“必答题”，越来越多的宁波企业希望搭上RCEP的快车，分享发展机遇。</w:t>
      </w:r>
    </w:p>
    <w:p>
      <w:pPr>
        <w:spacing w:line="440" w:lineRule="exact"/>
        <w:ind w:firstLine="480" w:firstLineChars="200"/>
        <w:rPr>
          <w:rFonts w:ascii="宋体" w:hAnsi="宋体"/>
          <w:sz w:val="24"/>
          <w:szCs w:val="24"/>
        </w:rPr>
      </w:pPr>
      <w:r>
        <w:rPr>
          <w:rFonts w:hint="eastAsia" w:ascii="宋体" w:hAnsi="宋体"/>
          <w:sz w:val="24"/>
          <w:szCs w:val="24"/>
        </w:rPr>
        <w:t>这不由得让人想起，多年前吉利举债收购沃尔沃那桩惊世案例。如今，曾经“蛇吞象”的中国车企，早已晋升为行业翘楚。两个月前，沃尔沃汽车在瑞典敲钟上市，规模更一举刷新瑞典20年来的IPO纪录，为这桩经典的并购案例续写了新的精彩。</w:t>
      </w:r>
    </w:p>
    <w:p>
      <w:pPr>
        <w:spacing w:line="440" w:lineRule="exact"/>
        <w:ind w:firstLine="480" w:firstLineChars="200"/>
        <w:rPr>
          <w:rFonts w:ascii="宋体" w:hAnsi="宋体"/>
          <w:sz w:val="24"/>
          <w:szCs w:val="24"/>
        </w:rPr>
      </w:pPr>
      <w:r>
        <w:rPr>
          <w:rFonts w:hint="eastAsia" w:ascii="宋体" w:hAnsi="宋体"/>
          <w:sz w:val="24"/>
          <w:szCs w:val="24"/>
        </w:rPr>
        <w:t>“没有入世，就没有吉利。”吉利集团董事局主席李书福由衷地感慨，吉利是中国加入WTO的最大受益者。他清楚地记得，就在中国加入WTO的前夜，吉利拿到了一张汽车“准生证”，成为中国首家获得轿车生产资格的民营企业。</w:t>
      </w:r>
    </w:p>
    <w:p>
      <w:pPr>
        <w:spacing w:line="440" w:lineRule="exact"/>
        <w:ind w:firstLine="480" w:firstLineChars="200"/>
        <w:rPr>
          <w:rFonts w:ascii="宋体" w:hAnsi="宋体"/>
          <w:sz w:val="24"/>
          <w:szCs w:val="24"/>
        </w:rPr>
      </w:pPr>
      <w:r>
        <w:rPr>
          <w:rFonts w:hint="eastAsia" w:ascii="宋体" w:hAnsi="宋体"/>
          <w:sz w:val="24"/>
          <w:szCs w:val="24"/>
        </w:rPr>
        <w:t>时间翻开新的一页，当“蛇吞象”变成“门当户对”，现在的宁波企业能否在RCEP框架下续写吉利的辉煌？</w:t>
      </w:r>
    </w:p>
    <w:p>
      <w:pPr>
        <w:spacing w:line="440" w:lineRule="exact"/>
        <w:ind w:firstLine="480" w:firstLineChars="200"/>
        <w:rPr>
          <w:rFonts w:ascii="宋体" w:hAnsi="宋体"/>
          <w:sz w:val="24"/>
          <w:szCs w:val="24"/>
        </w:rPr>
      </w:pPr>
      <w:r>
        <w:rPr>
          <w:rFonts w:hint="eastAsia" w:ascii="宋体" w:hAnsi="宋体"/>
          <w:sz w:val="24"/>
          <w:szCs w:val="24"/>
        </w:rPr>
        <w:t>“目前，我市企业在RCEP区域建设的百隆（越南）纺织园区、老挝川圹国际商贸城，已经被认定为宁波市级境外经贸合作区，其中百隆（越南）纺织园区还被评定为省级境外经贸合作区。”费建明指出，RCEP的实施必然会在多方面促进宁波对外贸易与双向投资的新发展，为宁波国内国际双循环互相促进、推动新一轮高水平开放、开拓国际合作新局面带来新的发展机遇。</w:t>
      </w:r>
    </w:p>
    <w:p>
      <w:pPr>
        <w:spacing w:line="440" w:lineRule="exact"/>
        <w:ind w:firstLine="480" w:firstLineChars="200"/>
        <w:rPr>
          <w:rFonts w:ascii="宋体" w:hAnsi="宋体"/>
          <w:sz w:val="24"/>
          <w:szCs w:val="24"/>
        </w:rPr>
      </w:pPr>
      <w:r>
        <w:rPr>
          <w:rFonts w:hint="eastAsia" w:ascii="宋体" w:hAnsi="宋体"/>
          <w:sz w:val="24"/>
          <w:szCs w:val="24"/>
        </w:rPr>
        <w:t>一条逐渐明晰的共识是：从中长期看，RCEP将为宁波经济起到稳定器、引导器和推进器的作用。“下一步，我准备把力勤OBI工业园打造成宁波市在RCEP区域的第三个境外经贸合作区，先按省级标准建设，以后逐步申请为国家级，为更多的国际合作铺平道路。”蔡建勇说。</w:t>
      </w:r>
    </w:p>
    <w:p>
      <w:pPr>
        <w:spacing w:line="440" w:lineRule="exact"/>
        <w:ind w:firstLine="480" w:firstLineChars="200"/>
        <w:rPr>
          <w:rFonts w:ascii="宋体" w:hAnsi="宋体"/>
          <w:sz w:val="24"/>
          <w:szCs w:val="24"/>
        </w:rPr>
      </w:pPr>
      <w:r>
        <w:rPr>
          <w:rFonts w:hint="eastAsia" w:ascii="宋体" w:hAnsi="宋体"/>
          <w:sz w:val="24"/>
          <w:szCs w:val="24"/>
        </w:rPr>
        <w:t>显然，新的游戏规则下，宁波商人期待以供应链、产业链的更深层次匹配，在更大的合作舞台上，启动“更快一步”的开放式发展。</w:t>
      </w:r>
    </w:p>
    <w:p>
      <w:pPr>
        <w:spacing w:line="440" w:lineRule="exact"/>
        <w:ind w:firstLine="482" w:firstLineChars="200"/>
        <w:rPr>
          <w:rFonts w:ascii="宋体" w:hAnsi="宋体"/>
          <w:b/>
          <w:sz w:val="24"/>
          <w:szCs w:val="24"/>
        </w:rPr>
      </w:pPr>
      <w:r>
        <w:rPr>
          <w:rFonts w:hint="eastAsia" w:ascii="宋体" w:hAnsi="宋体"/>
          <w:b/>
          <w:sz w:val="24"/>
          <w:szCs w:val="24"/>
        </w:rPr>
        <w:t>拆结构 阿拉的“平行四边形”</w:t>
      </w:r>
    </w:p>
    <w:p>
      <w:pPr>
        <w:spacing w:line="440" w:lineRule="exact"/>
        <w:ind w:firstLine="480" w:firstLineChars="200"/>
        <w:rPr>
          <w:rFonts w:ascii="宋体" w:hAnsi="宋体"/>
          <w:sz w:val="24"/>
          <w:szCs w:val="24"/>
        </w:rPr>
      </w:pPr>
      <w:r>
        <w:rPr>
          <w:rFonts w:hint="eastAsia" w:ascii="宋体" w:hAnsi="宋体"/>
          <w:sz w:val="24"/>
          <w:szCs w:val="24"/>
        </w:rPr>
        <w:t>没有想到，在宁波，RCEP与WTO最近的交汇，是从一句冷不丁的“报数”开始的——</w:t>
      </w:r>
    </w:p>
    <w:p>
      <w:pPr>
        <w:spacing w:line="440" w:lineRule="exact"/>
        <w:ind w:firstLine="480" w:firstLineChars="200"/>
        <w:rPr>
          <w:rFonts w:ascii="宋体" w:hAnsi="宋体"/>
          <w:sz w:val="24"/>
          <w:szCs w:val="24"/>
        </w:rPr>
      </w:pPr>
      <w:r>
        <w:rPr>
          <w:rFonts w:hint="eastAsia" w:ascii="宋体" w:hAnsi="宋体"/>
          <w:sz w:val="24"/>
          <w:szCs w:val="24"/>
        </w:rPr>
        <w:t>“已超3600人在线！”12月29日下午4时多，宁波国际展览工作群里，市商务局贸促处处长费建明突然“空降”，激动地说了这么一句。群里没人搭腔，反倒是线上观看直播的人数还在噌噌地往上涨，不一会就超过了4000人。</w:t>
      </w:r>
    </w:p>
    <w:p>
      <w:pPr>
        <w:spacing w:line="440" w:lineRule="exact"/>
        <w:ind w:firstLine="480" w:firstLineChars="200"/>
        <w:rPr>
          <w:rFonts w:ascii="宋体" w:hAnsi="宋体"/>
          <w:sz w:val="24"/>
          <w:szCs w:val="24"/>
        </w:rPr>
      </w:pPr>
      <w:r>
        <w:rPr>
          <w:rFonts w:hint="eastAsia" w:ascii="宋体" w:hAnsi="宋体"/>
          <w:sz w:val="24"/>
          <w:szCs w:val="24"/>
        </w:rPr>
        <w:t>当天，宁波市商务局、宁波海关、宁波市贸促会联合举办宁波RCEP业务实操培训，通过线上专家直播课程，为早已习惯了WTO规则的外贸人传授抢抓RCEP新机遇、布局多元化国际市场的好办法。</w:t>
      </w:r>
    </w:p>
    <w:p>
      <w:pPr>
        <w:spacing w:line="440" w:lineRule="exact"/>
        <w:ind w:firstLine="480" w:firstLineChars="200"/>
        <w:rPr>
          <w:rFonts w:ascii="宋体" w:hAnsi="宋体"/>
          <w:sz w:val="24"/>
          <w:szCs w:val="24"/>
        </w:rPr>
      </w:pPr>
      <w:r>
        <w:rPr>
          <w:rFonts w:hint="eastAsia" w:ascii="宋体" w:hAnsi="宋体"/>
          <w:sz w:val="24"/>
          <w:szCs w:val="24"/>
        </w:rPr>
        <w:t>“‘区域内90%以上的货物贸易将最终实现零关税’，这应该是大家最关心的一个亮点。但是，其实RCEP在市场准入和规则协调方面还有许多新的特点，是对WTO多边体系有益的补充。”市商务局贸管处处长李旭君指出，虽然中国已入世20年，享受到贸易全球化带来的红利，但也必须意识到，如今贸易环境和产业链格局已不同于以往。当下全球经济不确定性增多，挑战加剧，逆全球化发展趋势正愈演愈烈。“这个时候，宁波要点燃‘冬天里的一把火’,必须抢抓机遇，在坚定支持多边贸易体制的同时，努力‘参透’双边及区域合作的机遇与挑战。”李旭君说。</w:t>
      </w:r>
    </w:p>
    <w:p>
      <w:pPr>
        <w:spacing w:line="440" w:lineRule="exact"/>
        <w:ind w:firstLine="480" w:firstLineChars="200"/>
        <w:rPr>
          <w:rFonts w:ascii="宋体" w:hAnsi="宋体"/>
          <w:sz w:val="24"/>
          <w:szCs w:val="24"/>
        </w:rPr>
      </w:pPr>
      <w:r>
        <w:rPr>
          <w:rFonts w:hint="eastAsia" w:ascii="宋体" w:hAnsi="宋体"/>
          <w:sz w:val="24"/>
          <w:szCs w:val="24"/>
        </w:rPr>
        <w:t>在他看来，RCEP生效后，不仅意味着全球最大的自由贸易区正式落地，更有随之而来的货物流、信息流、资金流以及人才流的几何级增长。这些因素的互动，将形成新的“作用力的平行四边形”，影响到社会的方方面面，值得政府和企业好好研究。</w:t>
      </w:r>
    </w:p>
    <w:p>
      <w:pPr>
        <w:spacing w:line="440" w:lineRule="exact"/>
        <w:ind w:firstLine="480" w:firstLineChars="200"/>
        <w:rPr>
          <w:rFonts w:ascii="宋体" w:hAnsi="宋体"/>
          <w:sz w:val="24"/>
          <w:szCs w:val="24"/>
        </w:rPr>
      </w:pPr>
      <w:r>
        <w:rPr>
          <w:rFonts w:hint="eastAsia" w:ascii="宋体" w:hAnsi="宋体"/>
          <w:sz w:val="24"/>
          <w:szCs w:val="24"/>
        </w:rPr>
        <w:t>直观地看，RCEP生效后将给宁波带来多大利好，其实在一定程度上取决于宁波和这些成员贸易伙伴之间的贸易合作基础和区位联系，这同样可以有4个量化标准，分别是：货物贸易、跨境电商、投资额和服务贸易。</w:t>
      </w:r>
    </w:p>
    <w:p>
      <w:pPr>
        <w:spacing w:line="440" w:lineRule="exact"/>
        <w:ind w:firstLine="480" w:firstLineChars="200"/>
        <w:rPr>
          <w:rFonts w:ascii="宋体" w:hAnsi="宋体"/>
          <w:sz w:val="24"/>
          <w:szCs w:val="24"/>
        </w:rPr>
      </w:pPr>
      <w:r>
        <w:rPr>
          <w:rFonts w:hint="eastAsia" w:ascii="宋体" w:hAnsi="宋体"/>
          <w:sz w:val="24"/>
          <w:szCs w:val="24"/>
        </w:rPr>
        <w:t>统计数据显示，今年1月至10月，在货物贸易领域，我市与RCEP成员国的进出口贸易额为2591.3亿元，同比增长17.4%。占同期进出口总值的26.4%。在跨境电商领域，我市从RCEP成员国的进口额约占全市比重的50.73%。在投资领域，我市对RCEP成员国的投资额为75.5亿美元，约占全市总量的27.38%。在服务贸易领域，我市与RCEP成员国的进出口总额约占全市总量的16.8%。</w:t>
      </w:r>
    </w:p>
    <w:p>
      <w:pPr>
        <w:spacing w:line="440" w:lineRule="exact"/>
        <w:ind w:firstLine="480" w:firstLineChars="200"/>
        <w:rPr>
          <w:rFonts w:ascii="宋体" w:hAnsi="宋体"/>
          <w:sz w:val="24"/>
          <w:szCs w:val="24"/>
        </w:rPr>
      </w:pPr>
      <w:r>
        <w:rPr>
          <w:rFonts w:hint="eastAsia" w:ascii="宋体" w:hAnsi="宋体"/>
          <w:sz w:val="24"/>
          <w:szCs w:val="24"/>
        </w:rPr>
        <w:t>让我们继续往下拆。</w:t>
      </w:r>
    </w:p>
    <w:p>
      <w:pPr>
        <w:spacing w:line="440" w:lineRule="exact"/>
        <w:ind w:firstLine="480" w:firstLineChars="200"/>
        <w:rPr>
          <w:rFonts w:ascii="宋体" w:hAnsi="宋体"/>
          <w:sz w:val="24"/>
          <w:szCs w:val="24"/>
        </w:rPr>
      </w:pPr>
      <w:r>
        <w:rPr>
          <w:rFonts w:hint="eastAsia" w:ascii="宋体" w:hAnsi="宋体"/>
          <w:sz w:val="24"/>
          <w:szCs w:val="24"/>
        </w:rPr>
        <w:t>从宁波“RCEP外贸”构成看，今年前10个月，宁波对东盟实现进出口额1028.1亿元，占同期宁波与RCEP成员国进出口总值的近四成，并不算高。放眼全球，东盟在宁波的贸易“座次”尚屈居欧盟、美国之后，低于全国“互为最大贸易伙伴”的水平。</w:t>
      </w:r>
    </w:p>
    <w:p>
      <w:pPr>
        <w:spacing w:line="440" w:lineRule="exact"/>
        <w:ind w:firstLine="480" w:firstLineChars="200"/>
        <w:rPr>
          <w:rFonts w:ascii="宋体" w:hAnsi="宋体"/>
          <w:sz w:val="24"/>
          <w:szCs w:val="24"/>
        </w:rPr>
      </w:pPr>
      <w:r>
        <w:rPr>
          <w:rFonts w:hint="eastAsia" w:ascii="宋体" w:hAnsi="宋体"/>
          <w:sz w:val="24"/>
          <w:szCs w:val="24"/>
        </w:rPr>
        <w:t>“今年以来，宁波对欧盟、美国以及东盟三大贸易伙伴的顺差都在增长，说明宁波与世界经济相互依存程度继续加深。东盟在宁波贸易伙伴中排名第三，与整个中国市场情况存在错位。落差所在，就是潜力所在，RCEP在这个时候生效，恰恰提供了发力方向。”市商务局副局长韩隽表示。</w:t>
      </w:r>
    </w:p>
    <w:p>
      <w:pPr>
        <w:spacing w:line="440" w:lineRule="exact"/>
        <w:ind w:firstLine="482" w:firstLineChars="200"/>
        <w:rPr>
          <w:rFonts w:ascii="宋体" w:hAnsi="宋体"/>
          <w:b/>
          <w:sz w:val="24"/>
          <w:szCs w:val="24"/>
        </w:rPr>
      </w:pPr>
      <w:r>
        <w:rPr>
          <w:rFonts w:hint="eastAsia" w:ascii="宋体" w:hAnsi="宋体"/>
          <w:b/>
          <w:sz w:val="24"/>
          <w:szCs w:val="24"/>
        </w:rPr>
        <w:t>交汇点 从“学会游泳”到“畅游海洋”</w:t>
      </w:r>
    </w:p>
    <w:p>
      <w:pPr>
        <w:spacing w:line="440" w:lineRule="exact"/>
        <w:ind w:firstLine="480" w:firstLineChars="200"/>
        <w:rPr>
          <w:rFonts w:ascii="宋体" w:hAnsi="宋体"/>
          <w:sz w:val="24"/>
          <w:szCs w:val="24"/>
        </w:rPr>
      </w:pPr>
      <w:r>
        <w:rPr>
          <w:rFonts w:hint="eastAsia" w:ascii="宋体" w:hAnsi="宋体"/>
          <w:sz w:val="24"/>
          <w:szCs w:val="24"/>
        </w:rPr>
        <w:t>隔着20年的时空回望，WTO与RCEP，一个关乎“历史的宁波”，一个关乎“未来的宁波”。两者交汇于当下，让这座开放大市的发展有了全新的期许，亦在这个过程中不断明晰着这座城市的定位。</w:t>
      </w:r>
    </w:p>
    <w:p>
      <w:pPr>
        <w:spacing w:line="440" w:lineRule="exact"/>
        <w:ind w:firstLine="480" w:firstLineChars="200"/>
        <w:rPr>
          <w:rFonts w:ascii="宋体" w:hAnsi="宋体"/>
          <w:sz w:val="24"/>
          <w:szCs w:val="24"/>
        </w:rPr>
      </w:pPr>
      <w:r>
        <w:rPr>
          <w:rFonts w:hint="eastAsia" w:ascii="宋体" w:hAnsi="宋体"/>
          <w:sz w:val="24"/>
          <w:szCs w:val="24"/>
        </w:rPr>
        <w:t>“在大海里学会游泳，这是入世以来最宝贵的一条经验。”宁波工程学院管理工程研究所所长杨健指出，回望本世纪初，在一片“狼来了”的惊呼声中，宁波的外贸人接受挑战，千军万马“摸着石头过河”，走出一条外贸转型升级之路。</w:t>
      </w:r>
    </w:p>
    <w:p>
      <w:pPr>
        <w:spacing w:line="440" w:lineRule="exact"/>
        <w:ind w:firstLine="480" w:firstLineChars="200"/>
        <w:rPr>
          <w:rFonts w:ascii="宋体" w:hAnsi="宋体"/>
          <w:sz w:val="24"/>
          <w:szCs w:val="24"/>
        </w:rPr>
      </w:pPr>
      <w:r>
        <w:rPr>
          <w:rFonts w:hint="eastAsia" w:ascii="宋体" w:hAnsi="宋体"/>
          <w:sz w:val="24"/>
          <w:szCs w:val="24"/>
        </w:rPr>
        <w:t>20年来，宁波外贸企业数量从1000多家增长到2.4万多家，众多的单项冠军从国际贸易战场中诞生：申洲集团，全球最大的纵向一体化服装制造商，每24小时就有150万件服装、600吨面料从其生产线上下线；舜宇光学，去年手机镜头全球份额达26%，相当于4部手机中必有1部用到舜宇的镜头；杜亚机电，智能窗帘电机市场占有率全球第一，全球每6秒钟就有一台杜亚产品被安装……</w:t>
      </w:r>
    </w:p>
    <w:p>
      <w:pPr>
        <w:spacing w:line="440" w:lineRule="exact"/>
        <w:ind w:firstLine="480" w:firstLineChars="200"/>
        <w:rPr>
          <w:rFonts w:ascii="宋体" w:hAnsi="宋体"/>
          <w:sz w:val="24"/>
          <w:szCs w:val="24"/>
        </w:rPr>
      </w:pPr>
      <w:r>
        <w:rPr>
          <w:rFonts w:hint="eastAsia" w:ascii="宋体" w:hAnsi="宋体"/>
          <w:sz w:val="24"/>
          <w:szCs w:val="24"/>
        </w:rPr>
        <w:t>当前，宁波有19个国家级外贸转型升级基地，居全国第一，获评2020年度“浙江出口名牌”83个，居全省第一。宁波入选的国家级制造业单项冠军达45家，居全国各城市首位。</w:t>
      </w:r>
    </w:p>
    <w:p>
      <w:pPr>
        <w:spacing w:line="440" w:lineRule="exact"/>
        <w:ind w:firstLine="480" w:firstLineChars="200"/>
        <w:rPr>
          <w:rFonts w:ascii="宋体" w:hAnsi="宋体"/>
          <w:sz w:val="24"/>
          <w:szCs w:val="24"/>
        </w:rPr>
      </w:pPr>
      <w:r>
        <w:rPr>
          <w:rFonts w:hint="eastAsia" w:ascii="宋体" w:hAnsi="宋体"/>
          <w:sz w:val="24"/>
          <w:szCs w:val="24"/>
        </w:rPr>
        <w:t>显然，当下的宁波已经具备结构性转型升级的条件，应从发挥要素禀赋的比较优势到追求技术上的绝对优势，创新发展。</w:t>
      </w:r>
    </w:p>
    <w:p>
      <w:pPr>
        <w:spacing w:line="440" w:lineRule="exact"/>
        <w:ind w:firstLine="480" w:firstLineChars="200"/>
        <w:rPr>
          <w:rFonts w:ascii="宋体" w:hAnsi="宋体"/>
          <w:sz w:val="24"/>
          <w:szCs w:val="24"/>
        </w:rPr>
      </w:pPr>
      <w:r>
        <w:rPr>
          <w:rFonts w:hint="eastAsia" w:ascii="宋体" w:hAnsi="宋体"/>
          <w:sz w:val="24"/>
          <w:szCs w:val="24"/>
        </w:rPr>
        <w:t>以跨境电商为例，作为近年兴起的外贸“显学”，宁波市政府几乎每年都曾围绕此方面问题展开调研，亦在各种场合强调过此事于宁波的意义。今年11月11日，宁波跨境零售进口累计交易额突破1000亿元，成为全国首个跨境电商零售进口千亿级城市。跨境电商已成为宁波外贸的“新赛道”。</w:t>
      </w:r>
    </w:p>
    <w:p>
      <w:pPr>
        <w:spacing w:line="440" w:lineRule="exact"/>
        <w:ind w:firstLine="480" w:firstLineChars="200"/>
        <w:rPr>
          <w:rFonts w:ascii="宋体" w:hAnsi="宋体"/>
          <w:sz w:val="24"/>
          <w:szCs w:val="24"/>
        </w:rPr>
      </w:pPr>
      <w:r>
        <w:rPr>
          <w:rFonts w:hint="eastAsia" w:ascii="宋体" w:hAnsi="宋体"/>
          <w:sz w:val="24"/>
          <w:szCs w:val="24"/>
        </w:rPr>
        <w:t>“这两年，在疫情防控常态化的背景下，数字化能力已经成为企业活下去的关键，也是企业未来发展的重要核心竞争力。宁波外贸企业要加快数字化营销布局和转型，拓展新市场新客户，RCEP就是一个非常好的练兵场。”全球贸易通总裁陈建旭说，目前公司的数字营销平台可以满足客户海外搜索引擎营销和小语种营销的需求，接下来计划在东盟发展更多的跨境电商平台。</w:t>
      </w:r>
    </w:p>
    <w:p>
      <w:pPr>
        <w:spacing w:line="440" w:lineRule="exact"/>
        <w:ind w:firstLine="480" w:firstLineChars="200"/>
        <w:rPr>
          <w:rFonts w:ascii="宋体" w:hAnsi="宋体"/>
          <w:sz w:val="24"/>
          <w:szCs w:val="24"/>
        </w:rPr>
      </w:pPr>
      <w:r>
        <w:rPr>
          <w:rFonts w:hint="eastAsia" w:ascii="宋体" w:hAnsi="宋体"/>
          <w:sz w:val="24"/>
          <w:szCs w:val="24"/>
        </w:rPr>
        <w:t>RCEP生效后，成员国之间关税成本将大幅降低，还将提高中国跨境电商出口产品的市场竞争力，也有利于消费者以更加优惠的价格购买《跨境电子商务零售进口商品清单》上的商品，促进消费回流。</w:t>
      </w:r>
    </w:p>
    <w:p>
      <w:pPr>
        <w:spacing w:line="440" w:lineRule="exact"/>
        <w:ind w:firstLine="480" w:firstLineChars="200"/>
        <w:rPr>
          <w:rFonts w:ascii="宋体" w:hAnsi="宋体"/>
          <w:sz w:val="24"/>
          <w:szCs w:val="24"/>
        </w:rPr>
      </w:pPr>
      <w:r>
        <w:rPr>
          <w:rFonts w:hint="eastAsia" w:ascii="宋体" w:hAnsi="宋体"/>
          <w:sz w:val="24"/>
          <w:szCs w:val="24"/>
        </w:rPr>
        <w:t>与此同时，RCEP采取的预裁定、抵达前处理、信息技术运用等手段将促进海关程序高效管理，简化通关流程，从而进一步提高清关效率，再加上国际物流体系建设，会明显缩短跨境电商的物流时间，提高消费者的国际消费购物体验，这也将成为跨境电商业发展的“加速器”。据悉，目前我市在RCEP区域的海外仓布局已经起步，共建立海外仓9个，占全市总量的4.2%，主要涉及5个国家，总面积7.1万平方米，占全市总量的2.6%。</w:t>
      </w:r>
    </w:p>
    <w:p>
      <w:pPr>
        <w:spacing w:line="440" w:lineRule="exact"/>
        <w:ind w:firstLine="480" w:firstLineChars="200"/>
        <w:rPr>
          <w:rFonts w:ascii="宋体" w:hAnsi="宋体"/>
          <w:sz w:val="24"/>
          <w:szCs w:val="24"/>
        </w:rPr>
      </w:pPr>
      <w:r>
        <w:rPr>
          <w:rFonts w:hint="eastAsia" w:ascii="宋体" w:hAnsi="宋体"/>
          <w:sz w:val="24"/>
          <w:szCs w:val="24"/>
        </w:rPr>
        <w:t>以史为鉴，开创未来。正如商务部新闻发言人高峰所说，“协定的生命在于实施”。站在新的“交汇点”，宁波的开放奋斗，再启新程。（宁波日报12-31）</w:t>
      </w:r>
    </w:p>
    <w:p>
      <w:pPr>
        <w:spacing w:line="440" w:lineRule="exact"/>
        <w:ind w:firstLine="480" w:firstLineChars="200"/>
        <w:rPr>
          <w:rFonts w:ascii="宋体"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20" w:firstLineChars="200"/>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500" w:lineRule="exact"/>
        <w:jc w:val="center"/>
        <w:rPr>
          <w:rFonts w:ascii="华文细黑" w:hAnsi="华文细黑" w:eastAsia="华文细黑"/>
          <w:sz w:val="28"/>
          <w:szCs w:val="28"/>
        </w:rPr>
      </w:pPr>
      <w:r>
        <w:rPr>
          <w:rFonts w:hint="eastAsia" w:ascii="华文细黑" w:hAnsi="华文细黑" w:eastAsia="华文细黑"/>
          <w:sz w:val="28"/>
          <w:szCs w:val="28"/>
        </w:rPr>
        <w:t>中国加入世界贸易组织迎来20周年——</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入世20年，宁波以开放拥抱开放</w:t>
      </w:r>
    </w:p>
    <w:p>
      <w:pPr>
        <w:spacing w:line="440" w:lineRule="exact"/>
        <w:ind w:firstLine="420" w:firstLineChars="200"/>
      </w:pPr>
      <w:r>
        <w:rPr>
          <w:rFonts w:hint="eastAsia"/>
        </w:rPr>
        <w:t xml:space="preserve"> </w:t>
      </w:r>
    </w:p>
    <w:p>
      <w:pPr>
        <w:spacing w:line="440" w:lineRule="exact"/>
        <w:ind w:firstLine="420" w:firstLineChars="200"/>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德国小城韦茨拉尔风景旖旎，闻名世界的徕卡相机总部设在这里，作家歌德曾在这里创作出了《少年维特的烦恼》。2021年9月，宁波民企希磁科技通过收购当地一家知名的磁传感器厂商Sensitec，将技术版图第一次拓展到了欧洲腹地。</w:t>
      </w:r>
    </w:p>
    <w:p>
      <w:pPr>
        <w:spacing w:line="440" w:lineRule="exact"/>
        <w:ind w:firstLine="480" w:firstLineChars="200"/>
        <w:rPr>
          <w:rFonts w:ascii="Times New Roman" w:hAnsi="宋体"/>
          <w:sz w:val="24"/>
          <w:szCs w:val="24"/>
        </w:rPr>
      </w:pPr>
      <w:r>
        <w:rPr>
          <w:rFonts w:hint="eastAsia" w:ascii="Times New Roman" w:hAnsi="宋体"/>
          <w:sz w:val="24"/>
          <w:szCs w:val="24"/>
        </w:rPr>
        <w:t>这是中国加入世界贸易组织（WTO）20年来的一个“新常态”。2001年12月11日，在经历漫长谈判之后，我国正式成为WTO第143个成员。从一开始学习规则、应用规则到通过开放突出重围，20年来，宁波不断扩大城市开放格局，越来越多的企业从全球化中获益，也为世界经济发展注入了蓬勃的宁波力量。</w:t>
      </w:r>
    </w:p>
    <w:p>
      <w:pPr>
        <w:spacing w:line="440" w:lineRule="exact"/>
        <w:ind w:firstLine="482" w:firstLineChars="200"/>
        <w:rPr>
          <w:rFonts w:ascii="Times New Roman" w:hAnsi="宋体"/>
          <w:b/>
          <w:sz w:val="24"/>
          <w:szCs w:val="24"/>
        </w:rPr>
      </w:pPr>
      <w:r>
        <w:rPr>
          <w:rFonts w:hint="eastAsia" w:ascii="Times New Roman" w:hAnsi="宋体"/>
          <w:b/>
          <w:sz w:val="24"/>
          <w:szCs w:val="24"/>
        </w:rPr>
        <w:t>一场“洋官司”</w:t>
      </w:r>
    </w:p>
    <w:p>
      <w:pPr>
        <w:spacing w:line="440" w:lineRule="exact"/>
        <w:ind w:firstLine="480" w:firstLineChars="200"/>
        <w:rPr>
          <w:rFonts w:ascii="Times New Roman" w:hAnsi="宋体"/>
          <w:sz w:val="24"/>
          <w:szCs w:val="24"/>
        </w:rPr>
      </w:pPr>
      <w:r>
        <w:rPr>
          <w:rFonts w:hint="eastAsia" w:ascii="Times New Roman" w:hAnsi="宋体"/>
          <w:sz w:val="24"/>
          <w:szCs w:val="24"/>
        </w:rPr>
        <w:t>2002年2月13日，宁波慈兴集团总裁胡先根突然接到一通跨洋来电。美国轴承协会以中国轴承在美国市场低于正常的出口价格销售为由，对中国球轴承提起反倾销申诉。慈兴是核查对象之一。</w:t>
      </w:r>
    </w:p>
    <w:p>
      <w:pPr>
        <w:spacing w:line="440" w:lineRule="exact"/>
        <w:ind w:firstLine="480" w:firstLineChars="200"/>
        <w:rPr>
          <w:rFonts w:ascii="Times New Roman" w:hAnsi="宋体"/>
          <w:sz w:val="24"/>
          <w:szCs w:val="24"/>
        </w:rPr>
      </w:pPr>
      <w:r>
        <w:rPr>
          <w:rFonts w:hint="eastAsia" w:ascii="Times New Roman" w:hAnsi="宋体"/>
          <w:sz w:val="24"/>
          <w:szCs w:val="24"/>
        </w:rPr>
        <w:t>那是中国入世的第64天。彼时，慈兴还是一家以欧美市场为主，正处于快速发展期的工贸企业。</w:t>
      </w:r>
    </w:p>
    <w:p>
      <w:pPr>
        <w:spacing w:line="440" w:lineRule="exact"/>
        <w:ind w:firstLine="480" w:firstLineChars="200"/>
        <w:rPr>
          <w:rFonts w:ascii="Times New Roman" w:hAnsi="宋体"/>
          <w:sz w:val="24"/>
          <w:szCs w:val="24"/>
        </w:rPr>
      </w:pPr>
      <w:r>
        <w:rPr>
          <w:rFonts w:hint="eastAsia" w:ascii="Times New Roman" w:hAnsi="宋体"/>
          <w:sz w:val="24"/>
          <w:szCs w:val="24"/>
        </w:rPr>
        <w:t>挂断电话，胡先根心中五味杂陈。“一旦美国反倾销申诉成功，不仅中国球轴承在美2亿多美元的出口份额有可能荡然无存。更为严峻的是，欧盟通常会在美国判决后，参照其反倾销税率对中国产品发动同样的调查，引发连锁反应。”</w:t>
      </w:r>
    </w:p>
    <w:p>
      <w:pPr>
        <w:spacing w:line="440" w:lineRule="exact"/>
        <w:ind w:firstLine="480" w:firstLineChars="200"/>
        <w:rPr>
          <w:rFonts w:ascii="Times New Roman" w:hAnsi="宋体"/>
          <w:sz w:val="24"/>
          <w:szCs w:val="24"/>
        </w:rPr>
      </w:pPr>
      <w:r>
        <w:rPr>
          <w:rFonts w:hint="eastAsia" w:ascii="Times New Roman" w:hAnsi="宋体"/>
          <w:sz w:val="24"/>
          <w:szCs w:val="24"/>
        </w:rPr>
        <w:t>如果拒绝应诉，等于不战而降！</w:t>
      </w:r>
    </w:p>
    <w:p>
      <w:pPr>
        <w:spacing w:line="440" w:lineRule="exact"/>
        <w:ind w:firstLine="480" w:firstLineChars="200"/>
        <w:rPr>
          <w:rFonts w:ascii="Times New Roman" w:hAnsi="宋体"/>
          <w:sz w:val="24"/>
          <w:szCs w:val="24"/>
        </w:rPr>
      </w:pPr>
      <w:r>
        <w:rPr>
          <w:rFonts w:hint="eastAsia" w:ascii="Times New Roman" w:hAnsi="宋体"/>
          <w:sz w:val="24"/>
          <w:szCs w:val="24"/>
        </w:rPr>
        <w:t>他清晰地记得，那个不眠之夜，管理层统一表决：“洋官司”难打，但我们不能退。为此，慈兴集团请来了美国律师和上海WTO咨询中心专家，学习研究WTO规则，收集应诉材料，先后花费600多万元。经过14个月的艰难拉锯，美国商务部最终裁定：中国球轴承倾销案不成立，以“零损害”方式结案。</w:t>
      </w:r>
    </w:p>
    <w:p>
      <w:pPr>
        <w:spacing w:line="440" w:lineRule="exact"/>
        <w:ind w:firstLine="480" w:firstLineChars="200"/>
        <w:rPr>
          <w:rFonts w:ascii="Times New Roman" w:hAnsi="宋体"/>
          <w:sz w:val="24"/>
          <w:szCs w:val="24"/>
        </w:rPr>
      </w:pPr>
      <w:r>
        <w:rPr>
          <w:rFonts w:hint="eastAsia" w:ascii="Times New Roman" w:hAnsi="宋体"/>
          <w:sz w:val="24"/>
          <w:szCs w:val="24"/>
        </w:rPr>
        <w:t>这意味着，中国入世后在美国遭遇的首起反倾销诉讼，以中方应诉企业的胜利而告终。</w:t>
      </w:r>
    </w:p>
    <w:p>
      <w:pPr>
        <w:spacing w:line="440" w:lineRule="exact"/>
        <w:ind w:firstLine="480" w:firstLineChars="200"/>
        <w:rPr>
          <w:rFonts w:ascii="Times New Roman" w:hAnsi="宋体"/>
          <w:sz w:val="24"/>
          <w:szCs w:val="24"/>
        </w:rPr>
      </w:pPr>
      <w:r>
        <w:rPr>
          <w:rFonts w:hint="eastAsia" w:ascii="Times New Roman" w:hAnsi="宋体"/>
          <w:sz w:val="24"/>
          <w:szCs w:val="24"/>
        </w:rPr>
        <w:t>从此，慈兴大大提升了运用规则捍卫权益的能力和水平，并在日后利用“制造智能化、市场全球化、人才国际化”的“三化”优势，牢牢抓住了科技创新的“牛鼻子”，不断创造企业发展的奇迹。</w:t>
      </w:r>
    </w:p>
    <w:p>
      <w:pPr>
        <w:spacing w:line="440" w:lineRule="exact"/>
        <w:ind w:firstLine="480" w:firstLineChars="200"/>
        <w:rPr>
          <w:rFonts w:ascii="Times New Roman" w:hAnsi="宋体"/>
          <w:sz w:val="24"/>
          <w:szCs w:val="24"/>
        </w:rPr>
      </w:pPr>
      <w:r>
        <w:rPr>
          <w:rFonts w:hint="eastAsia" w:ascii="Times New Roman" w:hAnsi="宋体"/>
          <w:sz w:val="24"/>
          <w:szCs w:val="24"/>
        </w:rPr>
        <w:t>今天在宁波，许多企业有着类似的记忆：20年来，他们正是在这般摸索和实践中，逐步熟悉制度、善用规则，投身世界经济的汪洋大海里搏击风浪，从而完成从宁波制造向宁波智造、宁波创造的深层蜕变。</w:t>
      </w:r>
    </w:p>
    <w:p>
      <w:pPr>
        <w:spacing w:line="440" w:lineRule="exact"/>
        <w:ind w:firstLine="480" w:firstLineChars="200"/>
        <w:rPr>
          <w:rFonts w:ascii="Times New Roman" w:hAnsi="宋体"/>
          <w:sz w:val="24"/>
          <w:szCs w:val="24"/>
        </w:rPr>
      </w:pPr>
      <w:r>
        <w:rPr>
          <w:rFonts w:hint="eastAsia" w:ascii="Times New Roman" w:hAnsi="宋体"/>
          <w:sz w:val="24"/>
          <w:szCs w:val="24"/>
        </w:rPr>
        <w:t>中国信保宁波分公司业务三处负责人孟祥龙做过这样一个统计，入世之前长达51年时间里，中国累计获得1352亿美元的贸易顺差，但是入世后，平均每年中国就有2500多亿美元的贸易顺差入账。</w:t>
      </w:r>
    </w:p>
    <w:p>
      <w:pPr>
        <w:spacing w:line="440" w:lineRule="exact"/>
        <w:ind w:firstLine="480" w:firstLineChars="200"/>
        <w:rPr>
          <w:rFonts w:ascii="Times New Roman" w:hAnsi="宋体"/>
          <w:sz w:val="24"/>
          <w:szCs w:val="24"/>
        </w:rPr>
      </w:pPr>
      <w:r>
        <w:rPr>
          <w:rFonts w:hint="eastAsia" w:ascii="Times New Roman" w:hAnsi="宋体"/>
          <w:sz w:val="24"/>
          <w:szCs w:val="24"/>
        </w:rPr>
        <w:t>更多的民营企业从中受益。以宁波为例，20年来,外贸企业数量从1000多家增加到2.4万多家，年外贸进出口额从88.9亿美元增至去年的逾1500亿美元，增加近16倍。</w:t>
      </w:r>
    </w:p>
    <w:p>
      <w:pPr>
        <w:spacing w:line="440" w:lineRule="exact"/>
        <w:ind w:firstLine="480" w:firstLineChars="200"/>
        <w:rPr>
          <w:rFonts w:ascii="Times New Roman" w:hAnsi="宋体"/>
          <w:sz w:val="24"/>
          <w:szCs w:val="24"/>
        </w:rPr>
      </w:pPr>
      <w:r>
        <w:rPr>
          <w:rFonts w:hint="eastAsia" w:ascii="Times New Roman" w:hAnsi="宋体"/>
          <w:sz w:val="24"/>
          <w:szCs w:val="24"/>
        </w:rPr>
        <w:t>从游泳中学会游泳，头部企业不断涌现。20年间，杜亚机电把智能窗帘电机市场占有率做到全球第一，全世界每6秒钟就有一台杜亚产品被安装；舜宇光学，去年手机镜头全球份额达26%，相当于4部手机中必有1部用到舜宇的镜头；在杭州湾新区，嘉乐电器建有全球产量最大的空气炸锅生产基地，仅智能仓储系统投入就达5000万元……</w:t>
      </w:r>
    </w:p>
    <w:p>
      <w:pPr>
        <w:spacing w:line="440" w:lineRule="exact"/>
        <w:ind w:firstLine="480" w:firstLineChars="200"/>
        <w:rPr>
          <w:rFonts w:ascii="Times New Roman" w:hAnsi="宋体"/>
          <w:sz w:val="24"/>
          <w:szCs w:val="24"/>
        </w:rPr>
      </w:pPr>
      <w:r>
        <w:rPr>
          <w:rFonts w:hint="eastAsia" w:ascii="Times New Roman" w:hAnsi="宋体"/>
          <w:sz w:val="24"/>
          <w:szCs w:val="24"/>
        </w:rPr>
        <w:t>如今，宁波共有19个国家级外贸转型升级基地，居全国第一，获评2020年度“浙江出口名牌”83个，居全省第一。宁波入选的国家级制造业单项冠军企业达45家，居全国各城市首位。</w:t>
      </w:r>
    </w:p>
    <w:p>
      <w:pPr>
        <w:spacing w:line="440" w:lineRule="exact"/>
        <w:ind w:firstLine="480" w:firstLineChars="200"/>
        <w:rPr>
          <w:rFonts w:ascii="Times New Roman" w:hAnsi="宋体"/>
          <w:sz w:val="24"/>
          <w:szCs w:val="24"/>
        </w:rPr>
      </w:pPr>
      <w:r>
        <w:rPr>
          <w:rFonts w:hint="eastAsia" w:ascii="Times New Roman" w:hAnsi="宋体"/>
          <w:sz w:val="24"/>
          <w:szCs w:val="24"/>
        </w:rPr>
        <w:t>从“与狼共舞”到当前不少领域的独领风骚，宁波走出了一段足够精彩的反转。</w:t>
      </w:r>
    </w:p>
    <w:p>
      <w:pPr>
        <w:spacing w:line="440" w:lineRule="exact"/>
        <w:ind w:firstLine="482" w:firstLineChars="200"/>
        <w:rPr>
          <w:rFonts w:ascii="Times New Roman" w:hAnsi="宋体"/>
          <w:b/>
          <w:sz w:val="24"/>
          <w:szCs w:val="24"/>
        </w:rPr>
      </w:pPr>
      <w:r>
        <w:rPr>
          <w:rFonts w:hint="eastAsia" w:ascii="Times New Roman" w:hAnsi="宋体"/>
          <w:b/>
          <w:sz w:val="24"/>
          <w:szCs w:val="24"/>
        </w:rPr>
        <w:t>一次“蛇吞象”</w:t>
      </w:r>
    </w:p>
    <w:p>
      <w:pPr>
        <w:spacing w:line="440" w:lineRule="exact"/>
        <w:ind w:firstLine="480" w:firstLineChars="200"/>
        <w:rPr>
          <w:rFonts w:ascii="Times New Roman" w:hAnsi="宋体"/>
          <w:sz w:val="24"/>
          <w:szCs w:val="24"/>
        </w:rPr>
      </w:pPr>
      <w:r>
        <w:rPr>
          <w:rFonts w:hint="eastAsia" w:ascii="Times New Roman" w:hAnsi="宋体"/>
          <w:sz w:val="24"/>
          <w:szCs w:val="24"/>
        </w:rPr>
        <w:t>一个多月前，沃尔沃汽车在瑞典敲钟上市，成为20年来瑞典规模最大的一次IPO。背后，吉利的身影若隐若现。</w:t>
      </w:r>
    </w:p>
    <w:p>
      <w:pPr>
        <w:spacing w:line="440" w:lineRule="exact"/>
        <w:ind w:firstLine="480" w:firstLineChars="200"/>
        <w:rPr>
          <w:rFonts w:ascii="Times New Roman" w:hAnsi="宋体"/>
          <w:sz w:val="24"/>
          <w:szCs w:val="24"/>
        </w:rPr>
      </w:pPr>
      <w:r>
        <w:rPr>
          <w:rFonts w:hint="eastAsia" w:ascii="Times New Roman" w:hAnsi="宋体"/>
          <w:sz w:val="24"/>
          <w:szCs w:val="24"/>
        </w:rPr>
        <w:t>从并购之前的债台高筑，到挂牌上市高歌猛进……这是吉利集团在并购11年后交出的靓丽成绩单。而吉利对沃尔沃的“蛇吞象”，也早已成为哈佛商学院的经典案例。</w:t>
      </w:r>
    </w:p>
    <w:p>
      <w:pPr>
        <w:spacing w:line="440" w:lineRule="exact"/>
        <w:ind w:firstLine="480" w:firstLineChars="200"/>
        <w:rPr>
          <w:rFonts w:ascii="Times New Roman" w:hAnsi="宋体"/>
          <w:sz w:val="24"/>
          <w:szCs w:val="24"/>
        </w:rPr>
      </w:pPr>
      <w:r>
        <w:rPr>
          <w:rFonts w:hint="eastAsia" w:ascii="Times New Roman" w:hAnsi="宋体"/>
          <w:sz w:val="24"/>
          <w:szCs w:val="24"/>
        </w:rPr>
        <w:t>“没有入世，就没有吉利。”吉利集团董事局主席李书福由衷感慨，吉利是中国加入WTO的最大受益者。他清楚地记得，就在中国加入WTO的前夜，吉利拿到了一张汽车“准生证”，成为中国首家获得轿车生产资格的民营企业。</w:t>
      </w:r>
    </w:p>
    <w:p>
      <w:pPr>
        <w:spacing w:line="440" w:lineRule="exact"/>
        <w:ind w:firstLine="480" w:firstLineChars="200"/>
        <w:rPr>
          <w:rFonts w:ascii="Times New Roman" w:hAnsi="宋体"/>
          <w:sz w:val="24"/>
          <w:szCs w:val="24"/>
        </w:rPr>
      </w:pPr>
      <w:r>
        <w:rPr>
          <w:rFonts w:hint="eastAsia" w:ascii="Times New Roman" w:hAnsi="宋体"/>
          <w:sz w:val="24"/>
          <w:szCs w:val="24"/>
        </w:rPr>
        <w:t>吉利和沃尔沃共同创立的领克品牌，仅仅用了5年时间，已经收获了57万消费者的认可，从领克01到领克09，从燃油到混动，乃至未来的纯电，一个全新的汽车家族“谱系”正全面展开。</w:t>
      </w:r>
    </w:p>
    <w:p>
      <w:pPr>
        <w:spacing w:line="440" w:lineRule="exact"/>
        <w:ind w:firstLine="480" w:firstLineChars="200"/>
        <w:rPr>
          <w:rFonts w:ascii="Times New Roman" w:hAnsi="宋体"/>
          <w:sz w:val="24"/>
          <w:szCs w:val="24"/>
        </w:rPr>
      </w:pPr>
      <w:r>
        <w:rPr>
          <w:rFonts w:hint="eastAsia" w:ascii="Times New Roman" w:hAnsi="宋体"/>
          <w:sz w:val="24"/>
          <w:szCs w:val="24"/>
        </w:rPr>
        <w:t>在宁波，像这样通过全球外延并购，成为细分领域龙头的企业不在少数，均胜电子便是个中翘楚。从2011年以1.79亿欧元收购德国普瑞起，10年来，均胜开启了一场逐鹿全球的车轮式并购，其营收规模随之迅速攀升：收购之前的2010年的总营收为11.25亿元，到了2020年总营收达到478.9亿元，10年增加近42倍。</w:t>
      </w:r>
    </w:p>
    <w:p>
      <w:pPr>
        <w:spacing w:line="440" w:lineRule="exact"/>
        <w:ind w:firstLine="480" w:firstLineChars="200"/>
        <w:rPr>
          <w:rFonts w:ascii="Times New Roman" w:hAnsi="宋体"/>
          <w:sz w:val="24"/>
          <w:szCs w:val="24"/>
        </w:rPr>
      </w:pPr>
      <w:r>
        <w:rPr>
          <w:rFonts w:hint="eastAsia" w:ascii="Times New Roman" w:hAnsi="宋体"/>
          <w:sz w:val="24"/>
          <w:szCs w:val="24"/>
        </w:rPr>
        <w:t>入世20年来，越来越多的宁波企业走向世界，在更广阔的市场与国际巨头展开多元竞合。这其中，不仅有前沿技术的合作与吸收，更意味着研发、设计、产能等的全球配置。2015年，博威全资收购德国贝肯霍夫公司，并在整合基础上于次年成立博德高科，经过两年发展，2018年，博威被评为精密切割丝领域国家单项冠军，博德高科也已经是国际细丝领域的领军企业。其间，博威没有派一个中方人员进入在德国的公司，却在技术、品牌和管理上实现了两边公司的协同发展。</w:t>
      </w:r>
    </w:p>
    <w:p>
      <w:pPr>
        <w:spacing w:line="440" w:lineRule="exact"/>
        <w:ind w:firstLine="480" w:firstLineChars="200"/>
        <w:rPr>
          <w:rFonts w:ascii="Times New Roman" w:hAnsi="宋体"/>
          <w:sz w:val="24"/>
          <w:szCs w:val="24"/>
        </w:rPr>
      </w:pPr>
      <w:r>
        <w:rPr>
          <w:rFonts w:hint="eastAsia" w:ascii="Times New Roman" w:hAnsi="宋体"/>
          <w:sz w:val="24"/>
          <w:szCs w:val="24"/>
        </w:rPr>
        <w:t>经济全球化的宏大叙事，在一张企业合并报表上，体现得淋漓尽致。</w:t>
      </w:r>
    </w:p>
    <w:p>
      <w:pPr>
        <w:spacing w:line="440" w:lineRule="exact"/>
        <w:ind w:firstLine="480" w:firstLineChars="200"/>
        <w:rPr>
          <w:rFonts w:ascii="Times New Roman" w:hAnsi="宋体"/>
          <w:sz w:val="24"/>
          <w:szCs w:val="24"/>
        </w:rPr>
      </w:pPr>
      <w:r>
        <w:rPr>
          <w:rFonts w:hint="eastAsia" w:ascii="Times New Roman" w:hAnsi="宋体"/>
          <w:sz w:val="24"/>
          <w:szCs w:val="24"/>
        </w:rPr>
        <w:t>20年间，从“地球是圆的”到“世界是平的”，世界经济达到了前所未有的深度融合。外资同样渴望着跳上中国快车，分享发展机遇。</w:t>
      </w:r>
    </w:p>
    <w:p>
      <w:pPr>
        <w:spacing w:line="440" w:lineRule="exact"/>
        <w:ind w:firstLine="480" w:firstLineChars="200"/>
        <w:rPr>
          <w:rFonts w:ascii="Times New Roman" w:hAnsi="宋体"/>
          <w:sz w:val="24"/>
          <w:szCs w:val="24"/>
        </w:rPr>
      </w:pPr>
      <w:r>
        <w:rPr>
          <w:rFonts w:hint="eastAsia" w:ascii="Times New Roman" w:hAnsi="宋体"/>
          <w:sz w:val="24"/>
          <w:szCs w:val="24"/>
        </w:rPr>
        <w:t>2007年8月27日，世界最大的农业机械设备制造商美国约翰迪尔公司宣布：经过两个多月的工作，已经完成对宁波奔野拖拉机汽车制造有限公司的收购。这是“世界500强”首次并购宁波企业。</w:t>
      </w:r>
    </w:p>
    <w:p>
      <w:pPr>
        <w:spacing w:line="440" w:lineRule="exact"/>
        <w:ind w:firstLine="480" w:firstLineChars="200"/>
        <w:rPr>
          <w:rFonts w:ascii="Times New Roman" w:hAnsi="宋体"/>
          <w:sz w:val="24"/>
          <w:szCs w:val="24"/>
        </w:rPr>
      </w:pPr>
      <w:r>
        <w:rPr>
          <w:rFonts w:hint="eastAsia" w:ascii="Times New Roman" w:hAnsi="宋体"/>
          <w:sz w:val="24"/>
          <w:szCs w:val="24"/>
        </w:rPr>
        <w:t>20年来，一家家外资企业纷至沓来，竞相在四明大地安营扎寨。他们与时代共舞，创造了一个又一个“宁波传奇”。如今，外商投资企业以不到全市企业总数3%的数量，创造了近1/3的外贸进出口额、1/4的地区生产总值、1/5的财政收入和1/6的城镇就业。</w:t>
      </w:r>
    </w:p>
    <w:p>
      <w:pPr>
        <w:spacing w:line="440" w:lineRule="exact"/>
        <w:ind w:firstLine="480" w:firstLineChars="200"/>
        <w:rPr>
          <w:rFonts w:ascii="Times New Roman" w:hAnsi="宋体"/>
          <w:sz w:val="24"/>
          <w:szCs w:val="24"/>
        </w:rPr>
      </w:pPr>
      <w:r>
        <w:rPr>
          <w:rFonts w:hint="eastAsia" w:ascii="Times New Roman" w:hAnsi="宋体"/>
          <w:sz w:val="24"/>
          <w:szCs w:val="24"/>
        </w:rPr>
        <w:t>数据背后，共赢是开放带来的结果。</w:t>
      </w:r>
    </w:p>
    <w:p>
      <w:pPr>
        <w:spacing w:line="440" w:lineRule="exact"/>
        <w:ind w:firstLine="482" w:firstLineChars="200"/>
        <w:rPr>
          <w:rFonts w:ascii="Times New Roman" w:hAnsi="宋体"/>
          <w:b/>
          <w:sz w:val="24"/>
          <w:szCs w:val="24"/>
        </w:rPr>
      </w:pPr>
      <w:r>
        <w:rPr>
          <w:rFonts w:hint="eastAsia" w:ascii="Times New Roman" w:hAnsi="宋体"/>
          <w:b/>
          <w:sz w:val="24"/>
          <w:szCs w:val="24"/>
        </w:rPr>
        <w:t>一道“应用题”</w:t>
      </w:r>
    </w:p>
    <w:p>
      <w:pPr>
        <w:spacing w:line="440" w:lineRule="exact"/>
        <w:ind w:firstLine="480" w:firstLineChars="200"/>
        <w:rPr>
          <w:rFonts w:ascii="Times New Roman" w:hAnsi="宋体"/>
          <w:sz w:val="24"/>
          <w:szCs w:val="24"/>
        </w:rPr>
      </w:pPr>
      <w:r>
        <w:rPr>
          <w:rFonts w:hint="eastAsia" w:ascii="Times New Roman" w:hAnsi="宋体"/>
          <w:sz w:val="24"/>
          <w:szCs w:val="24"/>
        </w:rPr>
        <w:t>“办展这么多年，印象最深的是2003年，我们办过‘一个人的消博会’。”市商务局原副局长徐建华回忆道。</w:t>
      </w:r>
    </w:p>
    <w:p>
      <w:pPr>
        <w:spacing w:line="440" w:lineRule="exact"/>
        <w:ind w:firstLine="480" w:firstLineChars="200"/>
        <w:rPr>
          <w:rFonts w:ascii="Times New Roman" w:hAnsi="宋体"/>
          <w:sz w:val="24"/>
          <w:szCs w:val="24"/>
        </w:rPr>
      </w:pPr>
      <w:r>
        <w:rPr>
          <w:rFonts w:hint="eastAsia" w:ascii="Times New Roman" w:hAnsi="宋体"/>
          <w:sz w:val="24"/>
          <w:szCs w:val="24"/>
        </w:rPr>
        <w:t>当年因为非典，消博会延期举行，组委会提前发了公告，还逐一通知了前期已邀请的客商。但不知什么原因，一位印度客商哈里斯未得知这一信息，还是在原定的6月8日飞到宁波，准备参加消博会。面对突如其来的客商，工作人员并没有冷冰冰地劝退，而是在做好疫情防控措施下，热情地带他到一个一个工厂去看去谈，为他谈妥了一大批订单，办了“一个人的消博会”。这在入世之前是不可想象的。</w:t>
      </w:r>
    </w:p>
    <w:p>
      <w:pPr>
        <w:spacing w:line="440" w:lineRule="exact"/>
        <w:ind w:firstLine="480" w:firstLineChars="200"/>
        <w:rPr>
          <w:rFonts w:ascii="Times New Roman" w:hAnsi="宋体"/>
          <w:sz w:val="24"/>
          <w:szCs w:val="24"/>
        </w:rPr>
      </w:pPr>
      <w:r>
        <w:rPr>
          <w:rFonts w:hint="eastAsia" w:ascii="Times New Roman" w:hAnsi="宋体"/>
          <w:sz w:val="24"/>
          <w:szCs w:val="24"/>
        </w:rPr>
        <w:t>变化源于开放，更源于锚定开放目标的主动实践和艰苦奋斗。20年前中国入世，宁波便已站在开放的最前沿，20年间，宁波国际大港地位全面确立。2020年，宁波舟山港完成货物吞吐量11.72亿吨，连续12年保持全球第一；完成集装箱吞吐量2872万标准箱，较20年前的121万标准箱增了21倍多，位列全球第三。在港口的带动下，今年宁波和舟山首次跻身全球航运中心城市(城市群)综合实力前十强，较2015年排名上升了13位。</w:t>
      </w:r>
    </w:p>
    <w:p>
      <w:pPr>
        <w:spacing w:line="440" w:lineRule="exact"/>
        <w:ind w:firstLine="480" w:firstLineChars="200"/>
        <w:rPr>
          <w:rFonts w:ascii="Times New Roman" w:hAnsi="宋体"/>
          <w:sz w:val="24"/>
          <w:szCs w:val="24"/>
        </w:rPr>
      </w:pPr>
      <w:r>
        <w:rPr>
          <w:rFonts w:hint="eastAsia" w:ascii="Times New Roman" w:hAnsi="宋体"/>
          <w:sz w:val="24"/>
          <w:szCs w:val="24"/>
        </w:rPr>
        <w:t>20年，宁波以开放为“引擎”，一步一个脚印，不断推出“首创”之举，如率先在全国建立外贸孵化器、率先提出“以民引外”、率先实施口岸“大通关”、率先推出外贸企业出口退税质押贷款等。我市重点开放区域得到拓展提升，国家高新技术产业开发区、中国第五个保税港区等先后获批，去年，宁波获批浙江自贸试验区宁波片区，自此开始了中国自贸的宁波实践。2020年，宁波进出口总量升至全国第六位，并连续两年成为全国出口第五城。</w:t>
      </w:r>
    </w:p>
    <w:p>
      <w:pPr>
        <w:spacing w:line="440" w:lineRule="exact"/>
        <w:ind w:firstLine="480" w:firstLineChars="200"/>
        <w:rPr>
          <w:rFonts w:ascii="Times New Roman" w:hAnsi="宋体"/>
          <w:sz w:val="24"/>
          <w:szCs w:val="24"/>
        </w:rPr>
      </w:pPr>
      <w:r>
        <w:rPr>
          <w:rFonts w:hint="eastAsia" w:ascii="Times New Roman" w:hAnsi="宋体"/>
          <w:sz w:val="24"/>
          <w:szCs w:val="24"/>
        </w:rPr>
        <w:t>入世20年来，宁波经济增长按下“快进键”，综合实力大幅提升。市统计局数据显示，全市国内生产总值从2001年的1310.58亿元增加到2020年的1.24万亿元，连续多年进入“万亿俱乐部”。</w:t>
      </w:r>
    </w:p>
    <w:p>
      <w:pPr>
        <w:spacing w:line="440" w:lineRule="exact"/>
        <w:ind w:firstLine="480" w:firstLineChars="200"/>
        <w:rPr>
          <w:rFonts w:ascii="Times New Roman" w:hAnsi="宋体"/>
          <w:sz w:val="24"/>
          <w:szCs w:val="24"/>
        </w:rPr>
      </w:pPr>
      <w:r>
        <w:rPr>
          <w:rFonts w:hint="eastAsia" w:ascii="Times New Roman" w:hAnsi="宋体"/>
          <w:sz w:val="24"/>
          <w:szCs w:val="24"/>
        </w:rPr>
        <w:t>一个多月前，进博会开幕式上，国家主席习近平强调，中国扩大高水平开放的决心不会变，同世界分享发展机遇的决心不会变，推动经济全球化朝着更加开放、包容、普惠、平衡、共赢方向发展的决心不会变。</w:t>
      </w:r>
    </w:p>
    <w:p>
      <w:pPr>
        <w:spacing w:line="440" w:lineRule="exact"/>
        <w:ind w:firstLine="480" w:firstLineChars="200"/>
        <w:rPr>
          <w:rFonts w:ascii="Times New Roman" w:hAnsi="宋体"/>
          <w:sz w:val="24"/>
          <w:szCs w:val="24"/>
        </w:rPr>
      </w:pPr>
      <w:r>
        <w:rPr>
          <w:rFonts w:hint="eastAsia" w:ascii="Times New Roman" w:hAnsi="宋体"/>
          <w:sz w:val="24"/>
          <w:szCs w:val="24"/>
        </w:rPr>
        <w:t>“三个不会变”，是20年前中国入世的初心，更是全球化遭遇逆流的当下，中国推动国内国际双循环、开启新发展格局，推动建设开放型世界经济的庄严宣言。</w:t>
      </w:r>
    </w:p>
    <w:p>
      <w:pPr>
        <w:spacing w:line="440" w:lineRule="exact"/>
        <w:ind w:firstLine="480" w:firstLineChars="200"/>
        <w:rPr>
          <w:rFonts w:ascii="Times New Roman" w:hAnsi="宋体"/>
          <w:sz w:val="24"/>
          <w:szCs w:val="24"/>
        </w:rPr>
      </w:pPr>
      <w:r>
        <w:rPr>
          <w:rFonts w:hint="eastAsia" w:ascii="Times New Roman" w:hAnsi="宋体"/>
          <w:sz w:val="24"/>
          <w:szCs w:val="24"/>
        </w:rPr>
        <w:t>这道“应用题”，宁波坚定不移地做了20年。从开放走向开放，面向未来，宁波必将继续以开放拥抱开放。（宁波日报12-10）</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200"/>
        <w:rPr>
          <w:rFonts w:ascii="Times New Roman" w:hAnsi="宋体"/>
          <w:sz w:val="24"/>
          <w:szCs w:val="24"/>
        </w:rPr>
      </w:pPr>
    </w:p>
    <w:p>
      <w:pPr>
        <w:spacing w:line="440" w:lineRule="exact"/>
        <w:ind w:firstLine="200"/>
        <w:rPr>
          <w:rFonts w:ascii="楷体_GB2312" w:hAnsi="宋体" w:eastAsia="楷体_GB2312"/>
          <w:b/>
          <w:bCs/>
          <w:sz w:val="36"/>
          <w:szCs w:val="36"/>
        </w:rPr>
      </w:pPr>
    </w:p>
    <w:p>
      <w:pPr>
        <w:spacing w:line="440" w:lineRule="exact"/>
        <w:ind w:firstLine="200"/>
        <w:rPr>
          <w:rFonts w:ascii="楷体_GB2312" w:hAnsi="宋体" w:eastAsia="楷体_GB2312"/>
          <w:b/>
          <w:bCs/>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浙江自贸区宁波片区5项制度创新成果获肯定</w:t>
      </w:r>
    </w:p>
    <w:p>
      <w:pPr>
        <w:spacing w:line="440" w:lineRule="exact"/>
        <w:ind w:firstLine="480" w:firstLineChars="200"/>
        <w:rPr>
          <w:rFonts w:ascii="Times New Roman" w:hAnsi="宋体"/>
          <w:sz w:val="24"/>
          <w:szCs w:val="24"/>
        </w:rPr>
      </w:pPr>
    </w:p>
    <w:p>
      <w:pPr>
        <w:spacing w:line="440" w:lineRule="exact"/>
        <w:ind w:firstLine="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近日，我省召开高质量推进中国（浙江）自由贸易试验区建设大会，公布了2021年浙江自贸试验区最佳制度创新案例，宁波片区有5个案例入选。</w:t>
      </w:r>
    </w:p>
    <w:p>
      <w:pPr>
        <w:spacing w:line="440" w:lineRule="exact"/>
        <w:ind w:firstLine="480" w:firstLineChars="200"/>
        <w:rPr>
          <w:rFonts w:ascii="Times New Roman" w:hAnsi="宋体"/>
          <w:sz w:val="24"/>
          <w:szCs w:val="24"/>
        </w:rPr>
      </w:pPr>
      <w:r>
        <w:rPr>
          <w:rFonts w:hint="eastAsia" w:ascii="Times New Roman" w:hAnsi="宋体"/>
          <w:sz w:val="24"/>
          <w:szCs w:val="24"/>
        </w:rPr>
        <w:t>港与航相互依存，又相互促进。宁波片区入选案例中，第一个便是抵港外国籍船舶“港口国监督远程复查”机制。宁波通过率先在全国推行的港口国监督远程复查工作，实施交通流组织一体化，就有效减少船舶等待成本和对码头、锚地资源的占用，港口生产潜力得以进一步释放。据估算，该机制可为单一泊位提升生产效率10%至20%，显著提升口岸通关效率。</w:t>
      </w:r>
    </w:p>
    <w:p>
      <w:pPr>
        <w:spacing w:line="440" w:lineRule="exact"/>
        <w:ind w:firstLine="480" w:firstLineChars="200"/>
        <w:rPr>
          <w:rFonts w:ascii="Times New Roman" w:hAnsi="宋体"/>
          <w:sz w:val="24"/>
          <w:szCs w:val="24"/>
        </w:rPr>
      </w:pPr>
      <w:r>
        <w:rPr>
          <w:rFonts w:hint="eastAsia" w:ascii="Times New Roman" w:hAnsi="宋体"/>
          <w:sz w:val="24"/>
          <w:szCs w:val="24"/>
        </w:rPr>
        <w:t>入选案例中，最为外贸人所熟知的便是“易跨保”。作为全国首创支持跨境电商外贸新业态的金融服务方案，该方案打着明显的“宁波烙印”，不仅巧妙地将跨境电商“成长的烦恼”，与“大胆试、大胆闯、自主改”的自贸理念相结合，实现出口信用保险系列产品服务首次在跨境电商领域的全场景应用，在保障供应链安全的同时，打通全链条融资堵点。</w:t>
      </w:r>
    </w:p>
    <w:p>
      <w:pPr>
        <w:spacing w:line="440" w:lineRule="exact"/>
        <w:ind w:firstLine="480" w:firstLineChars="200"/>
        <w:rPr>
          <w:rFonts w:ascii="Times New Roman" w:hAnsi="宋体"/>
          <w:sz w:val="24"/>
          <w:szCs w:val="24"/>
        </w:rPr>
      </w:pPr>
      <w:r>
        <w:rPr>
          <w:rFonts w:hint="eastAsia" w:ascii="Times New Roman" w:hAnsi="宋体"/>
          <w:sz w:val="24"/>
          <w:szCs w:val="24"/>
        </w:rPr>
        <w:t>自今年4月推出以来，跨境电商6种业务模式均已实现承保并形成典型案例。截至10月末，已有33家企业参与试点，累计承保金额7246万美元。其中，在乐歌模式项下，试点期间新增公共海外仓保险承保金额约2600万美元。</w:t>
      </w:r>
    </w:p>
    <w:p>
      <w:pPr>
        <w:spacing w:line="440" w:lineRule="exact"/>
        <w:ind w:firstLine="480" w:firstLineChars="200"/>
        <w:rPr>
          <w:rFonts w:ascii="Times New Roman" w:hAnsi="宋体"/>
          <w:sz w:val="24"/>
          <w:szCs w:val="24"/>
        </w:rPr>
      </w:pPr>
      <w:r>
        <w:rPr>
          <w:rFonts w:hint="eastAsia" w:ascii="Times New Roman" w:hAnsi="宋体"/>
          <w:sz w:val="24"/>
          <w:szCs w:val="24"/>
        </w:rPr>
        <w:t>此次入选的海事审判“三合一”改革，为宁波片区首创，审理全国首例海事刑事案件，实现海事审判从民事、行政向刑事领域全覆盖，将海事刑事案件处理由碎片化变为集成化。</w:t>
      </w:r>
    </w:p>
    <w:p>
      <w:pPr>
        <w:spacing w:line="440" w:lineRule="exact"/>
        <w:ind w:firstLine="480" w:firstLineChars="200"/>
        <w:rPr>
          <w:rFonts w:ascii="Times New Roman" w:hAnsi="宋体"/>
          <w:sz w:val="24"/>
          <w:szCs w:val="24"/>
        </w:rPr>
      </w:pPr>
      <w:r>
        <w:rPr>
          <w:rFonts w:hint="eastAsia" w:ascii="Times New Roman" w:hAnsi="宋体"/>
          <w:sz w:val="24"/>
          <w:szCs w:val="24"/>
        </w:rPr>
        <w:t>在推动金融创新服务实体经济方面，宁波片区也有不俗表现。比如“外汇金管家”线上一站式服务。以及基于区块链数字仓单的大宗商品交易及融资新机制。7月23日，宁波片区落地首笔区块链数字仓单质押融资业务。“六六云链科技”的区块链数字仓单平台，为企业开立4张可信数字仓单。宁波片区在能源化工行业创立的这一基于区块链数字仓单的大宗商品交易及融资新机制，成功解决大宗商品作为动产的产权确认这一全球性难题，获得国家部委、浙江省相关部门等的广泛认可。（宁波日报12-21）</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200"/>
        <w:rPr>
          <w:rFonts w:ascii="Times New Roman" w:hAnsi="宋体"/>
          <w:sz w:val="24"/>
          <w:szCs w:val="24"/>
        </w:rPr>
      </w:pPr>
    </w:p>
    <w:p>
      <w:pPr>
        <w:spacing w:line="440" w:lineRule="exact"/>
        <w:ind w:firstLine="200"/>
        <w:rPr>
          <w:rFonts w:ascii="Times New Roman" w:hAnsi="宋体"/>
          <w:sz w:val="24"/>
          <w:szCs w:val="24"/>
        </w:rPr>
      </w:pPr>
    </w:p>
    <w:p>
      <w:pPr>
        <w:spacing w:line="440" w:lineRule="exact"/>
        <w:ind w:firstLine="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华文细黑" w:hAnsi="华文细黑" w:eastAsia="华文细黑"/>
          <w:sz w:val="28"/>
          <w:szCs w:val="28"/>
        </w:rPr>
      </w:pPr>
      <w:r>
        <w:rPr>
          <w:rFonts w:hint="eastAsia" w:ascii="华文细黑" w:hAnsi="华文细黑" w:eastAsia="华文细黑"/>
          <w:sz w:val="28"/>
          <w:szCs w:val="28"/>
        </w:rPr>
        <w:t>宁波舟山港见证世界贸易中心东移趋势</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全球第三个3000万箱超级大港诞生</w:t>
      </w:r>
    </w:p>
    <w:p>
      <w:pPr>
        <w:spacing w:line="440" w:lineRule="exact"/>
        <w:ind w:firstLine="723" w:firstLineChars="200"/>
        <w:rPr>
          <w:rFonts w:ascii="楷体_GB2312" w:hAnsi="宋体" w:eastAsia="楷体_GB2312"/>
          <w:b/>
          <w:bCs/>
          <w:sz w:val="36"/>
          <w:szCs w:val="36"/>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12月16日上午8时半，宁波舟山港梅山港区7号泊位的一只“红妆”集装箱，在远控桥吊和智能集卡的配合下，被稳稳吊装至“中远海运双鱼座”轮。至此，宁波舟山港成为继上海港、新加坡港之后全球第三个3000万标准箱超级大港。</w:t>
      </w:r>
    </w:p>
    <w:p>
      <w:pPr>
        <w:spacing w:line="440" w:lineRule="exact"/>
        <w:ind w:firstLine="480" w:firstLineChars="200"/>
        <w:rPr>
          <w:rFonts w:ascii="Times New Roman" w:hAnsi="宋体"/>
          <w:sz w:val="24"/>
          <w:szCs w:val="24"/>
        </w:rPr>
      </w:pPr>
      <w:r>
        <w:rPr>
          <w:rFonts w:hint="eastAsia" w:ascii="Times New Roman" w:hAnsi="宋体"/>
          <w:sz w:val="24"/>
          <w:szCs w:val="24"/>
        </w:rPr>
        <w:t>“这是2011年以来中国第二个突破3000万标准箱的港口。中国加入世界贸易组织20年，世界贸易中心加速向中国转移，有力地推动了宁波舟山港集装箱业务的发展。”上海对外经贸大学教授何欢浪评价道。</w:t>
      </w:r>
    </w:p>
    <w:p>
      <w:pPr>
        <w:spacing w:line="440" w:lineRule="exact"/>
        <w:ind w:firstLine="480" w:firstLineChars="200"/>
        <w:rPr>
          <w:rFonts w:ascii="Times New Roman" w:hAnsi="宋体"/>
          <w:sz w:val="24"/>
          <w:szCs w:val="24"/>
        </w:rPr>
      </w:pPr>
      <w:r>
        <w:rPr>
          <w:rFonts w:hint="eastAsia" w:ascii="Times New Roman" w:hAnsi="宋体"/>
          <w:sz w:val="24"/>
          <w:szCs w:val="24"/>
        </w:rPr>
        <w:t>2001年，宁波港口集装箱吞吐量首次突破100万标准箱，居全球第49位。受益于中国“入世”，此后港口年吞吐量每六七年就跨越一个1000万标准箱大台阶，创造了港口发展的“中国速度”。</w:t>
      </w:r>
    </w:p>
    <w:p>
      <w:pPr>
        <w:spacing w:line="440" w:lineRule="exact"/>
        <w:ind w:firstLine="480" w:firstLineChars="200"/>
        <w:rPr>
          <w:rFonts w:ascii="Times New Roman" w:hAnsi="宋体"/>
          <w:sz w:val="24"/>
          <w:szCs w:val="24"/>
        </w:rPr>
      </w:pPr>
      <w:r>
        <w:rPr>
          <w:rFonts w:hint="eastAsia" w:ascii="Times New Roman" w:hAnsi="宋体"/>
          <w:sz w:val="24"/>
          <w:szCs w:val="24"/>
        </w:rPr>
        <w:t>长三角一体化战略的实施，让宁波舟山港加速从大港向强港转型。从宁波、舟山港口的合二为一，到联手上海港共同推进小洋山港区综合开发，再到与上港集团、招商港口互相参股，宁波舟山港从中国“入世”中汲取智慧，与国内兄弟港口一起走上竞合之路，更好地服务长三角、长江经济带外向型经济。</w:t>
      </w:r>
    </w:p>
    <w:p>
      <w:pPr>
        <w:spacing w:line="440" w:lineRule="exact"/>
        <w:ind w:firstLine="480" w:firstLineChars="200"/>
        <w:rPr>
          <w:rFonts w:ascii="Times New Roman" w:hAnsi="宋体"/>
          <w:sz w:val="24"/>
          <w:szCs w:val="24"/>
        </w:rPr>
      </w:pPr>
      <w:r>
        <w:rPr>
          <w:rFonts w:hint="eastAsia" w:ascii="Times New Roman" w:hAnsi="宋体"/>
          <w:sz w:val="24"/>
          <w:szCs w:val="24"/>
        </w:rPr>
        <w:t>作为中国外贸的“风向标”，宁波舟山港见证了世界贸易中心东移趋势。浙江是中国外贸第三大省份，进出口额占全国的份额超过10%，其中一半以上外贸货物经由宁波舟山港进出。20年来，浙江货物贸易出口增长近16倍，出口商品结构不断优化。</w:t>
      </w:r>
    </w:p>
    <w:p>
      <w:pPr>
        <w:spacing w:line="440" w:lineRule="exact"/>
        <w:ind w:firstLine="480" w:firstLineChars="200"/>
        <w:rPr>
          <w:rFonts w:ascii="Times New Roman" w:hAnsi="宋体"/>
          <w:sz w:val="24"/>
          <w:szCs w:val="24"/>
        </w:rPr>
      </w:pPr>
      <w:r>
        <w:rPr>
          <w:rFonts w:hint="eastAsia" w:ascii="Times New Roman" w:hAnsi="宋体"/>
          <w:sz w:val="24"/>
          <w:szCs w:val="24"/>
        </w:rPr>
        <w:t>“20年前，服装、鞋袜是报关单上的常客，商品单价低。2010年之后，报关单量翻倍增长，商品种类越来越多，高质量、高附加值商品逐渐成为主流。”对于港口集装箱货物的变化，宁波市谨信报关代理有限公司经理刘海锋深有感触。</w:t>
      </w:r>
    </w:p>
    <w:p>
      <w:pPr>
        <w:spacing w:line="440" w:lineRule="exact"/>
        <w:ind w:firstLine="480" w:firstLineChars="200"/>
        <w:rPr>
          <w:rFonts w:ascii="Times New Roman" w:hAnsi="宋体"/>
          <w:sz w:val="24"/>
          <w:szCs w:val="24"/>
        </w:rPr>
      </w:pPr>
      <w:r>
        <w:rPr>
          <w:rFonts w:hint="eastAsia" w:ascii="Times New Roman" w:hAnsi="宋体"/>
          <w:sz w:val="24"/>
          <w:szCs w:val="24"/>
        </w:rPr>
        <w:t>今年全球经济缓慢复苏，疫情反复冲击下外需大幅增长，宁波舟山港集装箱吞吐量增幅高出全国沿海港口3个多百分点。面对旺盛的外贸进出口需求，该港不断拓展集装箱航线网络，航线总数较去年末净增27条，达287条，其中“一带一路”航线117条。目前，宁波舟山港每年完成的集装箱吞吐量占全国沿海主要港口的13%左右。</w:t>
      </w:r>
    </w:p>
    <w:p>
      <w:pPr>
        <w:spacing w:line="440" w:lineRule="exact"/>
        <w:ind w:firstLine="480" w:firstLineChars="200"/>
        <w:rPr>
          <w:rFonts w:ascii="Times New Roman" w:hAnsi="宋体"/>
          <w:sz w:val="24"/>
          <w:szCs w:val="24"/>
        </w:rPr>
      </w:pPr>
      <w:r>
        <w:rPr>
          <w:rFonts w:hint="eastAsia" w:ascii="Times New Roman" w:hAnsi="宋体"/>
          <w:sz w:val="24"/>
          <w:szCs w:val="24"/>
        </w:rPr>
        <w:t>“3000万标准箱是港口由大转强的重要‘分水岭’。未来，宁波舟山港要坚持互利共赢的合作理念，加快推进世界一流强港建设，更好地服务长三角和内陆腹地外贸企业。”宁波舟山港集团原总经济师童孟达表示。</w:t>
      </w:r>
    </w:p>
    <w:p>
      <w:pPr>
        <w:spacing w:line="440" w:lineRule="exact"/>
        <w:ind w:firstLine="482" w:firstLineChars="200"/>
        <w:rPr>
          <w:rFonts w:ascii="Times New Roman" w:hAnsi="宋体"/>
          <w:b/>
          <w:sz w:val="24"/>
          <w:szCs w:val="24"/>
        </w:rPr>
      </w:pPr>
      <w:r>
        <w:rPr>
          <w:rFonts w:hint="eastAsia" w:ascii="Times New Roman" w:hAnsi="宋体"/>
          <w:b/>
          <w:sz w:val="24"/>
          <w:szCs w:val="24"/>
        </w:rPr>
        <w:t>记者手记</w:t>
      </w:r>
    </w:p>
    <w:p>
      <w:pPr>
        <w:spacing w:line="440" w:lineRule="exact"/>
        <w:ind w:firstLine="482" w:firstLineChars="200"/>
        <w:rPr>
          <w:rFonts w:ascii="Times New Roman" w:hAnsi="宋体"/>
          <w:b/>
          <w:sz w:val="24"/>
          <w:szCs w:val="24"/>
        </w:rPr>
      </w:pPr>
      <w:r>
        <w:rPr>
          <w:rFonts w:hint="eastAsia" w:ascii="Times New Roman" w:hAnsi="宋体"/>
          <w:b/>
          <w:sz w:val="24"/>
          <w:szCs w:val="24"/>
        </w:rPr>
        <w:t>外贸激活港口发展的澎湃春潮</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从2001年的121.3万标准箱，到今年的超3000万标准箱，宁波舟山港年集装箱吞吐量20年近24倍的增长速度，在全球港口界亦属罕见。这是中国外贸强势崛起的一个缩影。过去20年，中国进口占全球份额从2001年的3.8%上升到去年的11.5%，同期中国出口占全球比重由4.3%提高到14.9%。作为外贸的“孪生兄弟”，港口见证了世界贸易中心的东移趋势。2001年，全球前20大集装箱港口中国仅占5席。如今，全球前20大集装箱港口中国占了9席，其中前10大集装箱港口有7个是中国港口。（宁波日报12-17）</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r>
        <w:rPr>
          <w:rFonts w:hint="eastAsia" w:ascii="华文彩云" w:hAnsi="宋体" w:eastAsia="华文彩云"/>
          <w:sz w:val="36"/>
          <w:szCs w:val="36"/>
        </w:rPr>
        <w:t>◎协会活动</w:t>
      </w:r>
    </w:p>
    <w:p>
      <w:pPr>
        <w:adjustRightInd w:val="0"/>
        <w:snapToGrid w:val="0"/>
        <w:spacing w:line="440" w:lineRule="exact"/>
        <w:jc w:val="left"/>
        <w:rPr>
          <w:rFonts w:ascii="宋体" w:hAnsi="宋体"/>
          <w:sz w:val="24"/>
          <w:szCs w:val="24"/>
        </w:rPr>
        <w:sectPr>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jc w:val="left"/>
        <w:rPr>
          <w:rFonts w:ascii="Times New Roman" w:hAnsi="宋体"/>
          <w:sz w:val="24"/>
          <w:szCs w:val="24"/>
        </w:rPr>
      </w:pPr>
    </w:p>
    <w:p>
      <w:pPr>
        <w:widowControl/>
        <w:shd w:val="clear" w:color="auto" w:fill="FFFFFF"/>
        <w:spacing w:line="440" w:lineRule="exact"/>
        <w:jc w:val="left"/>
        <w:rPr>
          <w:rFonts w:ascii="Times New Roman"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联合国采购大会成功举办</w:t>
      </w:r>
    </w:p>
    <w:p>
      <w:pPr>
        <w:spacing w:line="440" w:lineRule="exact"/>
        <w:ind w:firstLine="562" w:firstLineChars="200"/>
        <w:rPr>
          <w:b/>
          <w:bCs/>
          <w:color w:val="0000FF"/>
          <w:sz w:val="28"/>
          <w:szCs w:val="28"/>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为积极推动我市外贸企业抢抓联合国采购商机，我会在市商务局指导下，联合有关机构举办联合国采购线上推广大会和联合国采购经验交流会，帮助企业更好地了解联合国采购规则，熟悉联合国采购流程。</w:t>
      </w:r>
    </w:p>
    <w:p>
      <w:pPr>
        <w:spacing w:line="440" w:lineRule="exact"/>
        <w:ind w:firstLine="480" w:firstLineChars="200"/>
        <w:rPr>
          <w:rFonts w:ascii="Times New Roman" w:hAnsi="宋体"/>
          <w:sz w:val="24"/>
          <w:szCs w:val="24"/>
        </w:rPr>
      </w:pPr>
      <w:r>
        <w:rPr>
          <w:rFonts w:hint="eastAsia" w:ascii="Times New Roman" w:hAnsi="宋体"/>
          <w:sz w:val="24"/>
          <w:szCs w:val="24"/>
        </w:rPr>
        <w:t>11月16日举办的联合国采购线上推广大会邀请了联合国开发计划署、联合国难民署、联合国人口基金会及联合国项目事务署四个机构的官员。宁波市商务局对外贸易管理处李旭君处长提到，自疫情以来，宁波外贸一直面临着严峻的局面。联合国总部和各所属机构每年要采购大量的货物和服务，对我市企业来说，不仅意味着新增一条出口渠道，可以享受免关税、无贸易壁垒、低收汇风险的好处，同时还有诸如提升企业信誉度、融资贷款、承接国外订单等方面潜在的效应和额外的红利。举办联合国采购推广活动，鼓励我市外贸企业积极参与联合国采购，正是为了帮助企业更好地开拓国际市场、破解企业难题的一个尝试。随后，四个联合国机构采购官员就联合国各机构采购流程、规则要求及采购产品方面进行了介绍，并和在座企业分享了2020年联合国采购数据报告。</w:t>
      </w:r>
    </w:p>
    <w:p>
      <w:pPr>
        <w:spacing w:line="440" w:lineRule="exact"/>
        <w:ind w:firstLine="480" w:firstLineChars="200"/>
        <w:rPr>
          <w:rFonts w:ascii="Times New Roman" w:hAnsi="宋体"/>
          <w:sz w:val="24"/>
          <w:szCs w:val="24"/>
        </w:rPr>
      </w:pPr>
      <w:r>
        <w:rPr>
          <w:rFonts w:hint="eastAsia" w:ascii="Times New Roman" w:hAnsi="宋体"/>
          <w:sz w:val="24"/>
          <w:szCs w:val="24"/>
        </w:rPr>
        <w:t>11月19日的“联合国采购经验交流会”邀请到北京巨擘联经济管理研究中心（国际招投标采购网）主任侯国昌先生和中标（天津）贸易咨询服务有限公司投标总监许晓蓓女士，就联合国采购经验和招投标方面进行分享和实际操作指导。两位专家都具有十年以上联合国采购经验，深谙联合国三十六个采购机构的规则、程序等特点，就联合国各机构信息渠道、注册流程、投标要求及相关采购案例进行了介绍，并现场指导企业注册、投标。</w:t>
      </w:r>
    </w:p>
    <w:p>
      <w:pPr>
        <w:spacing w:line="440" w:lineRule="exact"/>
        <w:ind w:firstLine="480" w:firstLineChars="200"/>
        <w:rPr>
          <w:rFonts w:ascii="Times New Roman" w:hAnsi="宋体"/>
          <w:sz w:val="24"/>
          <w:szCs w:val="24"/>
        </w:rPr>
      </w:pPr>
      <w:r>
        <w:rPr>
          <w:rFonts w:hint="eastAsia" w:ascii="Times New Roman" w:hAnsi="宋体"/>
          <w:sz w:val="24"/>
          <w:szCs w:val="24"/>
        </w:rPr>
        <w:t>会上，市商务局李旭君处长表示，针对企业提出的联合国采购门槛高、怕收不到货款等困惑，商务部门正谋划与中信保和相关金融机构共同推出针对联合国采购的专门的信保和融资产品，进一步降低企业出口风险和成本。</w:t>
      </w:r>
    </w:p>
    <w:p>
      <w:pPr>
        <w:spacing w:line="440" w:lineRule="exact"/>
        <w:ind w:firstLine="480" w:firstLineChars="200"/>
        <w:rPr>
          <w:rFonts w:ascii="Times New Roman" w:hAnsi="宋体"/>
          <w:sz w:val="24"/>
          <w:szCs w:val="24"/>
        </w:rPr>
      </w:pPr>
      <w:r>
        <w:rPr>
          <w:rFonts w:hint="eastAsia" w:ascii="Times New Roman" w:hAnsi="宋体"/>
          <w:sz w:val="24"/>
          <w:szCs w:val="24"/>
        </w:rPr>
        <w:t>本次活动分别有170余家和150余家企业参加，会上企业认真聆听，并在专家的指导下上网实际操作。休会期间，多家企业代表与专家进行热烈交流，详细咨询。参会企业纷纷表示，非常感谢市商务局给予企业接触联合国采购的机会，通过这次活动对联合国采购有了更深的认知，为进一步开拓国际市场，打通了新的渠道。协会也将及时跟进企业参与情况，为企业提供所需的服务。</w:t>
      </w:r>
      <w:r>
        <w:rPr>
          <w:rFonts w:ascii="Times New Roman" w:hAnsi="宋体"/>
          <w:sz w:val="24"/>
          <w:szCs w:val="24"/>
        </w:rPr>
        <w:t xml:space="preserve"> </w:t>
      </w:r>
    </w:p>
    <w:p>
      <w:pPr>
        <w:widowControl/>
        <w:shd w:val="clear" w:color="auto" w:fill="FFFFFF"/>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widowControl/>
        <w:shd w:val="clear" w:color="auto" w:fill="FFFFFF"/>
        <w:spacing w:line="440" w:lineRule="exact"/>
        <w:ind w:firstLine="480" w:firstLineChars="200"/>
        <w:rPr>
          <w:rFonts w:ascii="Times New Roman" w:hAnsi="宋体"/>
          <w:sz w:val="24"/>
          <w:szCs w:val="24"/>
        </w:rPr>
      </w:pPr>
    </w:p>
    <w:p>
      <w:pPr>
        <w:widowControl/>
        <w:shd w:val="clear" w:color="auto" w:fill="FFFFFF"/>
        <w:spacing w:line="440" w:lineRule="exact"/>
        <w:ind w:firstLine="480" w:firstLineChars="200"/>
        <w:rPr>
          <w:rFonts w:ascii="Times New Roman" w:hAnsi="宋体"/>
          <w:sz w:val="24"/>
          <w:szCs w:val="24"/>
        </w:rPr>
      </w:pPr>
    </w:p>
    <w:p>
      <w:pPr>
        <w:widowControl/>
        <w:shd w:val="clear" w:color="auto" w:fill="FFFFFF"/>
        <w:spacing w:line="440" w:lineRule="exact"/>
        <w:ind w:firstLine="480" w:firstLineChars="200"/>
        <w:rPr>
          <w:rFonts w:ascii="Times New Roman"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协会举办联合国采购融资、信保服务宣讲会</w:t>
      </w:r>
    </w:p>
    <w:p>
      <w:pPr>
        <w:spacing w:line="440" w:lineRule="exact"/>
        <w:ind w:firstLine="420" w:firstLineChars="200"/>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自11月举办了联合国采购推广活动以来，企业反响积极、参与度高，为更好地推进外贸企业迈向联合国采购市场，12月23日下午，我协会在宁波市商务局的指导下举办了联合国采购融资、信保服务宣讲活动，针对企业在采购中遇到的融资、信保等问题进行宣讲和解答。宣讲会通过线上直播形式进行，与企业开展分享交流。</w:t>
      </w:r>
    </w:p>
    <w:p>
      <w:pPr>
        <w:spacing w:line="440" w:lineRule="exact"/>
        <w:ind w:firstLine="480" w:firstLineChars="200"/>
        <w:rPr>
          <w:rFonts w:ascii="Times New Roman" w:hAnsi="宋体"/>
          <w:sz w:val="24"/>
          <w:szCs w:val="24"/>
        </w:rPr>
      </w:pPr>
      <w:r>
        <w:rPr>
          <w:rFonts w:hint="eastAsia" w:ascii="Times New Roman" w:hAnsi="宋体"/>
          <w:sz w:val="24"/>
          <w:szCs w:val="24"/>
        </w:rPr>
        <w:t>市商务局对外贸易管理处处长李旭君处长、中信保宁波分公司薛可体主任、泰隆银行朱巧丽经理、柏优生物科技张莉经理等领导参加了此次会议，并现场连线北京巨擘联侯国昌主任为大家答疑解惑。会议由协会池俏瑜秘书长主持。</w:t>
      </w:r>
    </w:p>
    <w:p>
      <w:pPr>
        <w:spacing w:line="440" w:lineRule="exact"/>
        <w:ind w:firstLine="480" w:firstLineChars="200"/>
        <w:rPr>
          <w:rFonts w:ascii="Times New Roman" w:hAnsi="宋体"/>
          <w:sz w:val="24"/>
          <w:szCs w:val="24"/>
        </w:rPr>
      </w:pPr>
      <w:r>
        <w:rPr>
          <w:rFonts w:hint="eastAsia" w:ascii="Times New Roman" w:hAnsi="宋体"/>
          <w:sz w:val="24"/>
          <w:szCs w:val="24"/>
        </w:rPr>
        <w:t>由于联合国采购贸易链条长，对企业现金流考验大，市商务局和财政局共同推出</w:t>
      </w:r>
      <w:r>
        <w:rPr>
          <w:rFonts w:ascii="Times New Roman" w:hAnsi="宋体"/>
          <w:sz w:val="24"/>
          <w:szCs w:val="24"/>
        </w:rPr>
        <w:t>“</w:t>
      </w:r>
      <w:r>
        <w:rPr>
          <w:rFonts w:hint="eastAsia" w:ascii="Times New Roman" w:hAnsi="宋体"/>
          <w:sz w:val="24"/>
          <w:szCs w:val="24"/>
        </w:rPr>
        <w:t>甬贸贷</w:t>
      </w:r>
      <w:r>
        <w:rPr>
          <w:rFonts w:ascii="Times New Roman" w:hAnsi="宋体"/>
          <w:sz w:val="24"/>
          <w:szCs w:val="24"/>
        </w:rPr>
        <w:t>”</w:t>
      </w:r>
      <w:r>
        <w:rPr>
          <w:rFonts w:hint="eastAsia" w:ascii="Times New Roman" w:hAnsi="宋体"/>
          <w:sz w:val="24"/>
          <w:szCs w:val="24"/>
        </w:rPr>
        <w:t>融资业务，着力缓解中小微外贸企业融资问题，促进外贸转型升级。</w:t>
      </w:r>
    </w:p>
    <w:p>
      <w:pPr>
        <w:spacing w:line="440" w:lineRule="exact"/>
        <w:ind w:firstLine="480" w:firstLineChars="200"/>
        <w:rPr>
          <w:rFonts w:ascii="Times New Roman" w:hAnsi="宋体"/>
          <w:sz w:val="24"/>
          <w:szCs w:val="24"/>
        </w:rPr>
      </w:pPr>
      <w:r>
        <w:rPr>
          <w:rFonts w:hint="eastAsia" w:ascii="Times New Roman" w:hAnsi="宋体"/>
          <w:sz w:val="24"/>
          <w:szCs w:val="24"/>
        </w:rPr>
        <w:t>之后，泰隆银行朱巧丽经理为企业介绍了“甬贸贷”的进入条件、定制化服务以及申请渠道。中信保宁波分公司薛可体主任从合同流、货物流、资金流三个方面对联合国采购业务进行了剖析，并介绍了中信保对于联合国采购业务的支持措施。本次宣讲会还邀请到柏优生物科技的张莉经理分享联合国投标经验，并对企业关心的问题做了解答。</w:t>
      </w:r>
    </w:p>
    <w:p>
      <w:pPr>
        <w:spacing w:line="440" w:lineRule="exact"/>
        <w:ind w:firstLine="480" w:firstLineChars="200"/>
        <w:rPr>
          <w:rFonts w:ascii="Times New Roman" w:hAnsi="宋体"/>
          <w:sz w:val="24"/>
          <w:szCs w:val="24"/>
        </w:rPr>
      </w:pPr>
      <w:r>
        <w:rPr>
          <w:rFonts w:hint="eastAsia" w:ascii="Times New Roman" w:hAnsi="宋体"/>
          <w:sz w:val="24"/>
          <w:szCs w:val="24"/>
        </w:rPr>
        <w:t>针对现场企业代表关于联合国采购供应商注册的问题，我们还现场连线了北京巨擘联侯国昌主任，侯主任建议外贸企业重视联合国供应商的注册，收集整理并翻译好相关材料，以备后续的投标工作。</w:t>
      </w:r>
    </w:p>
    <w:p>
      <w:pPr>
        <w:spacing w:line="440" w:lineRule="exact"/>
        <w:ind w:firstLine="480" w:firstLineChars="200"/>
        <w:rPr>
          <w:rFonts w:ascii="Times New Roman" w:hAnsi="宋体"/>
          <w:sz w:val="24"/>
          <w:szCs w:val="24"/>
        </w:rPr>
      </w:pPr>
      <w:r>
        <w:rPr>
          <w:rFonts w:hint="eastAsia" w:ascii="Times New Roman" w:hAnsi="宋体"/>
          <w:sz w:val="24"/>
          <w:szCs w:val="24"/>
        </w:rPr>
        <w:t>此次培训会受到了外贸企业的热烈关注，吸引了300余人次在线观看。会后，协会第一时间跟进了企业注册情况并收集企业提出的问题反馈给专家。</w:t>
      </w:r>
    </w:p>
    <w:p>
      <w:pPr>
        <w:widowControl/>
        <w:shd w:val="clear" w:color="auto" w:fill="FFFFFF"/>
        <w:spacing w:line="440" w:lineRule="exact"/>
        <w:jc w:val="center"/>
        <w:outlineLvl w:val="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widowControl/>
        <w:shd w:val="clear" w:color="auto" w:fill="FFFFFF"/>
        <w:spacing w:line="440" w:lineRule="exact"/>
        <w:jc w:val="center"/>
        <w:rPr>
          <w:rFonts w:ascii="Times New Roman" w:hAnsi="宋体"/>
          <w:sz w:val="24"/>
          <w:szCs w:val="24"/>
        </w:rPr>
      </w:pPr>
    </w:p>
    <w:p>
      <w:pPr>
        <w:widowControl/>
        <w:shd w:val="clear" w:color="auto" w:fill="FFFFFF"/>
        <w:spacing w:line="440" w:lineRule="exact"/>
        <w:jc w:val="center"/>
        <w:rPr>
          <w:rFonts w:ascii="Times New Roman"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协会组织企业参加“宏观经济及汇率走势分析”讲座</w:t>
      </w:r>
    </w:p>
    <w:p>
      <w:pPr>
        <w:spacing w:line="440" w:lineRule="exact"/>
        <w:ind w:firstLine="640" w:firstLineChars="200"/>
        <w:rPr>
          <w:rFonts w:ascii="黑体" w:hAnsi="黑体" w:eastAsia="黑体" w:cs="宋体"/>
          <w:color w:val="000000"/>
          <w:kern w:val="0"/>
          <w:sz w:val="32"/>
          <w:szCs w:val="32"/>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11月8日下午，协会联合浙商银行宁波分行举办“宏观经济及汇率走势分析”的讲座，邀请分行外汇交易中心毛虓帅讲师到会讲课，数位企业代表参会。</w:t>
      </w:r>
    </w:p>
    <w:p>
      <w:pPr>
        <w:spacing w:line="440" w:lineRule="exact"/>
        <w:ind w:firstLine="480" w:firstLineChars="200"/>
        <w:rPr>
          <w:rFonts w:ascii="Times New Roman" w:hAnsi="宋体"/>
          <w:sz w:val="24"/>
          <w:szCs w:val="24"/>
        </w:rPr>
      </w:pPr>
      <w:r>
        <w:rPr>
          <w:rFonts w:hint="eastAsia" w:ascii="Times New Roman" w:hAnsi="宋体"/>
          <w:sz w:val="24"/>
          <w:szCs w:val="24"/>
        </w:rPr>
        <w:t>毛老师回顾了自2015年人民币市场化以来汇率波动的几个节点，分别对美元基本面和人民币基本面展开分析。</w:t>
      </w:r>
    </w:p>
    <w:p>
      <w:pPr>
        <w:spacing w:line="440" w:lineRule="exact"/>
        <w:ind w:firstLine="480" w:firstLineChars="200"/>
        <w:rPr>
          <w:rFonts w:ascii="Times New Roman" w:hAnsi="宋体"/>
          <w:sz w:val="24"/>
          <w:szCs w:val="24"/>
        </w:rPr>
      </w:pPr>
      <w:r>
        <w:rPr>
          <w:rFonts w:hint="eastAsia" w:ascii="Times New Roman" w:hAnsi="宋体"/>
          <w:sz w:val="24"/>
          <w:szCs w:val="24"/>
        </w:rPr>
        <w:t>他指出，美元指数有反弹潜力。虽然美国受到疫情的影响，但是疫苗接种的普及为经济复苏提供了支持；零售业需求端旺盛，消费快速修复，服务消费向好，消费者信心逐步回暖，仍有很大的改善空间；拜登政府推出2万亿美元基建计划，就业状况有所好转。种种因素下，预计2021年美国GDP有望同比增长5.1%。相比之下，欧洲经济体复苏动力疲软，难以回到2019年水平，因此美强欧弱形势难以逆转。</w:t>
      </w:r>
    </w:p>
    <w:p>
      <w:pPr>
        <w:spacing w:line="440" w:lineRule="exact"/>
        <w:ind w:firstLine="480" w:firstLineChars="200"/>
        <w:rPr>
          <w:rFonts w:ascii="Times New Roman" w:hAnsi="宋体"/>
          <w:sz w:val="24"/>
          <w:szCs w:val="24"/>
        </w:rPr>
      </w:pPr>
      <w:r>
        <w:rPr>
          <w:rFonts w:hint="eastAsia" w:ascii="Times New Roman" w:hAnsi="宋体"/>
          <w:sz w:val="24"/>
          <w:szCs w:val="24"/>
        </w:rPr>
        <w:t>毛老师分析，人民币短期的上升，一方面是由于美元指数相对走弱，带动人民币升值，另一方面则是因为中国出口不断增长，贸易顺差持续走强，大量美金存量需要结汇。在美国经济通胀和供应链短缺压力下，中美关系趋向缓和也进一步导致人民币汇率上升。</w:t>
      </w:r>
    </w:p>
    <w:p>
      <w:pPr>
        <w:spacing w:line="440" w:lineRule="exact"/>
        <w:ind w:firstLine="480" w:firstLineChars="200"/>
        <w:rPr>
          <w:rFonts w:ascii="Times New Roman" w:hAnsi="宋体"/>
          <w:sz w:val="24"/>
          <w:szCs w:val="24"/>
        </w:rPr>
      </w:pPr>
      <w:r>
        <w:rPr>
          <w:rFonts w:hint="eastAsia" w:ascii="Times New Roman" w:hAnsi="宋体"/>
          <w:sz w:val="24"/>
          <w:szCs w:val="24"/>
        </w:rPr>
        <w:t>对于未来人民币的走势，毛老师指出，未来美元指数有上行潜力，人民币存在一定回调压力，但国内经济依然存在一定韧性，且过去一年企业结汇率偏低，美元存款飙升，企业存在结汇的需求，这会对冲贬值压力；从政策来看，监管将引导人民币平稳预期，不会让其大幅贬值。他预测，2022年汇率运行区间为6.3-6.7，整体呈现双向波动态势。</w:t>
      </w:r>
    </w:p>
    <w:p>
      <w:pPr>
        <w:spacing w:line="440" w:lineRule="exact"/>
        <w:ind w:firstLine="480" w:firstLineChars="200"/>
        <w:rPr>
          <w:rFonts w:ascii="Times New Roman" w:hAnsi="宋体"/>
          <w:sz w:val="24"/>
          <w:szCs w:val="24"/>
        </w:rPr>
      </w:pPr>
      <w:r>
        <w:rPr>
          <w:rFonts w:hint="eastAsia" w:ascii="Times New Roman" w:hAnsi="宋体"/>
          <w:sz w:val="24"/>
          <w:szCs w:val="24"/>
        </w:rPr>
        <w:t>讲座的最后，毛老师建议企业树立风险中性理念，坚持“保值”而非“增值”为核心的汇率风险管理原则，聚焦主业、套保避险，不炒作套利，加强企业自身的风险管理和业务发展。由于目前市场偏爱出口企业，出口企业可以大胆交易，即使出现锁汇时点不佳的情况，仍然可以利用优势，通过展期、提前交割、反向平仓、期权叠加等方式化险为夷。</w:t>
      </w:r>
    </w:p>
    <w:p>
      <w:pPr>
        <w:spacing w:line="440" w:lineRule="exact"/>
        <w:ind w:firstLine="480" w:firstLineChars="200"/>
        <w:rPr>
          <w:rFonts w:ascii="Times New Roman" w:hAnsi="宋体"/>
          <w:sz w:val="24"/>
          <w:szCs w:val="24"/>
        </w:rPr>
      </w:pPr>
      <w:r>
        <w:rPr>
          <w:rFonts w:hint="eastAsia" w:ascii="Times New Roman" w:hAnsi="宋体"/>
          <w:sz w:val="24"/>
          <w:szCs w:val="24"/>
        </w:rPr>
        <w:t>课后，部分企业还与浙商银行专员就相关问题做了进一步的交流。</w:t>
      </w:r>
    </w:p>
    <w:p>
      <w:pPr>
        <w:widowControl/>
        <w:shd w:val="clear" w:color="auto" w:fill="FFFFFF"/>
        <w:spacing w:line="440" w:lineRule="exact"/>
        <w:ind w:firstLine="200"/>
        <w:rPr>
          <w:rFonts w:ascii="楷体_GB2312" w:hAnsi="宋体" w:eastAsia="楷体_GB2312"/>
          <w:b/>
          <w:bCs/>
          <w:sz w:val="36"/>
          <w:szCs w:val="36"/>
        </w:rPr>
        <w:sectPr>
          <w:type w:val="continuous"/>
          <w:pgSz w:w="11906" w:h="16838"/>
          <w:pgMar w:top="1440" w:right="1800" w:bottom="1440" w:left="1800" w:header="851" w:footer="992" w:gutter="0"/>
          <w:cols w:space="425" w:num="2"/>
          <w:docGrid w:type="lines" w:linePitch="312" w:charSpace="0"/>
        </w:sectPr>
      </w:pPr>
    </w:p>
    <w:p>
      <w:pPr>
        <w:widowControl/>
        <w:shd w:val="clear" w:color="auto" w:fill="FFFFFF"/>
        <w:spacing w:line="440" w:lineRule="exact"/>
        <w:ind w:firstLine="200"/>
        <w:rPr>
          <w:rFonts w:ascii="楷体_GB2312" w:hAnsi="宋体" w:eastAsia="楷体_GB2312"/>
          <w:b/>
          <w:bCs/>
          <w:sz w:val="36"/>
          <w:szCs w:val="36"/>
        </w:rPr>
      </w:pPr>
    </w:p>
    <w:p>
      <w:pPr>
        <w:widowControl/>
        <w:shd w:val="clear" w:color="auto" w:fill="FFFFFF"/>
        <w:spacing w:line="440" w:lineRule="exact"/>
        <w:ind w:firstLine="200"/>
        <w:rPr>
          <w:rFonts w:ascii="楷体_GB2312" w:hAnsi="宋体" w:eastAsia="楷体_GB2312"/>
          <w:b/>
          <w:bCs/>
          <w:sz w:val="36"/>
          <w:szCs w:val="36"/>
        </w:rPr>
      </w:pPr>
    </w:p>
    <w:p>
      <w:pPr>
        <w:widowControl/>
        <w:shd w:val="clear" w:color="auto" w:fill="FFFFFF"/>
        <w:spacing w:line="440" w:lineRule="exact"/>
        <w:ind w:firstLine="200"/>
        <w:rPr>
          <w:rFonts w:ascii="楷体_GB2312" w:hAnsi="宋体" w:eastAsia="楷体_GB2312"/>
          <w:b/>
          <w:bCs/>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协会参与宁波市外贸实效企业市场展望沙龙</w:t>
      </w:r>
    </w:p>
    <w:p>
      <w:pPr>
        <w:spacing w:line="440" w:lineRule="exact"/>
        <w:ind w:firstLine="420" w:firstLineChars="200"/>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11月30日下午，宁波市商务局联合宁波市对外经济贸易企业协会（宁波进出口商会），在宁波人才之家举办宁波市外贸实效企业市场展望主题沙龙。共有30余家企业代表参会。市商务局党组副书记、副局长陈利珍出席活动。</w:t>
      </w:r>
    </w:p>
    <w:p>
      <w:pPr>
        <w:spacing w:line="440" w:lineRule="exact"/>
        <w:ind w:firstLine="480" w:firstLineChars="200"/>
        <w:rPr>
          <w:rFonts w:ascii="Times New Roman" w:hAnsi="宋体"/>
          <w:sz w:val="24"/>
          <w:szCs w:val="24"/>
        </w:rPr>
      </w:pPr>
      <w:r>
        <w:rPr>
          <w:rFonts w:hint="eastAsia" w:ascii="Times New Roman" w:hAnsi="宋体"/>
          <w:sz w:val="24"/>
          <w:szCs w:val="24"/>
        </w:rPr>
        <w:t>此次活动就大家比较关心的外贸形势，邀请到中信保的专家来深入剖析。同时，特邀宁波海关为大家介绍海关AEO认证的最新要求，还有阿拉运的专家介绍如何用数字技术为外贸拓市场赋能。</w:t>
      </w:r>
    </w:p>
    <w:p>
      <w:pPr>
        <w:spacing w:line="440" w:lineRule="exact"/>
        <w:ind w:firstLine="480" w:firstLineChars="200"/>
        <w:rPr>
          <w:rFonts w:ascii="Times New Roman" w:hAnsi="宋体"/>
          <w:sz w:val="24"/>
          <w:szCs w:val="24"/>
        </w:rPr>
      </w:pPr>
      <w:r>
        <w:rPr>
          <w:rFonts w:hint="eastAsia" w:ascii="Times New Roman" w:hAnsi="宋体"/>
          <w:sz w:val="24"/>
          <w:szCs w:val="24"/>
        </w:rPr>
        <w:t>贸管处处长李旭君指出，外贸实效企业是宁波外贸的中流砥柱，是我们的稳定器、压舱石。今年外贸实效企业系列沙龙活动共有三场，前两场分别以“跨境电商发展”和“物流供需对接”为主题，今天是今年的收官之作，主题为“市场展望”，旨在推动宁波外贸稳定发展，帮助宁波市外贸实效企业掌握当前外贸发展形势，充分利用贸易便利化手段，进一步拓展市场，推动宁波外贸数字化转型。</w:t>
      </w:r>
    </w:p>
    <w:p>
      <w:pPr>
        <w:spacing w:line="440" w:lineRule="exact"/>
        <w:ind w:firstLine="480" w:firstLineChars="200"/>
        <w:rPr>
          <w:rFonts w:ascii="Times New Roman" w:hAnsi="宋体"/>
          <w:sz w:val="24"/>
          <w:szCs w:val="24"/>
        </w:rPr>
      </w:pPr>
      <w:r>
        <w:rPr>
          <w:rFonts w:hint="eastAsia" w:ascii="Times New Roman" w:hAnsi="宋体"/>
          <w:sz w:val="24"/>
          <w:szCs w:val="24"/>
        </w:rPr>
        <w:t>市商务局书记陈利珍指出，疫情下外贸企业我们遭遇了种种困难，但是在全体外贸人的努力下，我市外贸取得了靓丽的成绩。1-10月，宁波外贸进出口、出口、进口分别为9799.4亿元、6269.8亿元、3529.6亿元，同比增长22.5%、20.2%、26.7%；1-10月的进出口额已超过去年全年。这个成绩的取得，与外贸实力效益工程企业为代表的大企业奋力拼搏、有力带动，是分不开的。陈书记表示，未来市商务局将会做好五方面的工作：一是全面提高出口质量和效益，二是努力建设立足本地服务全国的进口枢纽，三是努力提升贸易对产业发展带动作用，四是进一步提高国际市场多元化水平，五是培育外贸发展新优势。</w:t>
      </w:r>
    </w:p>
    <w:p>
      <w:pPr>
        <w:spacing w:line="440" w:lineRule="exact"/>
        <w:ind w:firstLine="480" w:firstLineChars="200"/>
        <w:rPr>
          <w:rFonts w:ascii="Times New Roman" w:hAnsi="宋体"/>
          <w:sz w:val="24"/>
          <w:szCs w:val="24"/>
        </w:rPr>
      </w:pPr>
      <w:r>
        <w:rPr>
          <w:rFonts w:hint="eastAsia" w:ascii="Times New Roman" w:hAnsi="宋体"/>
          <w:sz w:val="24"/>
          <w:szCs w:val="24"/>
        </w:rPr>
        <w:t>接下来，中信保宁波分公司孟祥龙副处长分享《入世20年，中国外贸的新旧动能转换》，宁波海关潘锋处长分享《海关信用管理办法与标准解读》，阿拉运物联网科技有限公司陈琳产品总监分享《大数据赋能外贸数字化拓客》。</w:t>
      </w:r>
    </w:p>
    <w:p>
      <w:pPr>
        <w:spacing w:line="440" w:lineRule="exact"/>
        <w:ind w:firstLine="480" w:firstLineChars="200"/>
        <w:rPr>
          <w:rFonts w:ascii="Times New Roman" w:hAnsi="宋体"/>
          <w:sz w:val="24"/>
          <w:szCs w:val="24"/>
        </w:rPr>
      </w:pPr>
      <w:r>
        <w:rPr>
          <w:rFonts w:hint="eastAsia" w:ascii="Times New Roman" w:hAnsi="宋体"/>
          <w:sz w:val="24"/>
          <w:szCs w:val="24"/>
        </w:rPr>
        <w:t>此次沙龙分享结合当前外贸市场形势，提供了未来宁波外贸发展的思路，参会企业纷纷表示受益良多。</w:t>
      </w:r>
    </w:p>
    <w:p>
      <w:pPr>
        <w:spacing w:line="440" w:lineRule="exact"/>
        <w:ind w:firstLine="480" w:firstLineChars="200"/>
        <w:rPr>
          <w:rFonts w:ascii="Times New Roman" w:hAnsi="宋体"/>
          <w:sz w:val="24"/>
          <w:szCs w:val="24"/>
        </w:rPr>
      </w:pPr>
      <w:r>
        <w:rPr>
          <w:rFonts w:hint="eastAsia" w:ascii="Times New Roman" w:hAnsi="宋体"/>
          <w:sz w:val="24"/>
          <w:szCs w:val="24"/>
        </w:rPr>
        <w:t>协会秘书处协助此次沙龙的会务工作，并参加了沙龙活动。</w:t>
      </w:r>
    </w:p>
    <w:p>
      <w:pPr>
        <w:spacing w:line="440" w:lineRule="exact"/>
        <w:ind w:firstLine="560" w:firstLineChars="200"/>
        <w:rPr>
          <w:rFonts w:asciiTheme="minorEastAsia" w:hAnsiTheme="minorEastAsia" w:cstheme="minorEastAsia"/>
          <w:sz w:val="28"/>
          <w:szCs w:val="28"/>
        </w:rPr>
        <w:sectPr>
          <w:type w:val="continuous"/>
          <w:pgSz w:w="11906" w:h="16838"/>
          <w:pgMar w:top="1440" w:right="1800" w:bottom="1440" w:left="1800" w:header="851" w:footer="992" w:gutter="0"/>
          <w:cols w:space="425" w:num="2"/>
          <w:docGrid w:type="lines" w:linePitch="312" w:charSpace="0"/>
        </w:sectPr>
      </w:pPr>
    </w:p>
    <w:p>
      <w:pPr>
        <w:spacing w:line="440" w:lineRule="exact"/>
        <w:ind w:firstLine="560" w:firstLineChars="200"/>
        <w:rPr>
          <w:rFonts w:asciiTheme="minorEastAsia" w:hAnsiTheme="minorEastAsia" w:cstheme="minorEastAsia"/>
          <w:sz w:val="28"/>
          <w:szCs w:val="28"/>
        </w:rPr>
      </w:pPr>
    </w:p>
    <w:p>
      <w:pPr>
        <w:widowControl/>
        <w:shd w:val="clear" w:color="auto" w:fill="FFFFFF"/>
        <w:spacing w:line="440" w:lineRule="exact"/>
        <w:ind w:firstLine="200"/>
        <w:rPr>
          <w:rFonts w:ascii="楷体_GB2312" w:hAnsi="宋体" w:eastAsia="楷体_GB2312"/>
          <w:b/>
          <w:bCs/>
          <w:sz w:val="36"/>
          <w:szCs w:val="36"/>
        </w:rPr>
      </w:pPr>
    </w:p>
    <w:p>
      <w:pPr>
        <w:widowControl/>
        <w:shd w:val="clear" w:color="auto" w:fill="FFFFFF"/>
        <w:spacing w:line="500" w:lineRule="exact"/>
        <w:jc w:val="center"/>
        <w:outlineLvl w:val="0"/>
        <w:rPr>
          <w:rFonts w:ascii="楷体_GB2312" w:hAnsi="宋体" w:eastAsia="楷体_GB2312"/>
          <w:b/>
          <w:bCs/>
          <w:sz w:val="36"/>
          <w:szCs w:val="36"/>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辽宁省对外贸易企业协会一行来我会拜访交流</w:t>
      </w:r>
    </w:p>
    <w:p>
      <w:pPr>
        <w:spacing w:line="440" w:lineRule="exact"/>
        <w:ind w:firstLine="420" w:firstLineChars="200"/>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为加强与兄弟商协会的联系，互相交流学习，辽宁省对外贸易企业协会张荣阳会长、李琳秘书长、李艳筠会长助理一行于11月3日造访我协会，我会刘建平会长、池俏瑜秘书长及秘书处工作人员陪同接待。</w:t>
      </w:r>
    </w:p>
    <w:p>
      <w:pPr>
        <w:spacing w:line="440" w:lineRule="exact"/>
        <w:ind w:firstLine="480" w:firstLineChars="200"/>
        <w:rPr>
          <w:rFonts w:ascii="Times New Roman" w:hAnsi="宋体"/>
          <w:sz w:val="24"/>
          <w:szCs w:val="24"/>
        </w:rPr>
      </w:pPr>
      <w:r>
        <w:rPr>
          <w:rFonts w:hint="eastAsia" w:ascii="Times New Roman" w:hAnsi="宋体"/>
          <w:sz w:val="24"/>
          <w:szCs w:val="24"/>
        </w:rPr>
        <w:t>一行人首先参观了宁波市国际会展中心9号馆——中东欧国家特色商品常年馆。协会一行在宁波进口商品中心许方明副总经理及相关人员的陪同下参观了综合馆和国别商品馆，了解来自中东欧各国的酒类、食品、日化美妆、工艺品等商品。据介绍，中东欧国家特色商品常年展项目2015年在宁波进口商品展示交易中心正式落地，至今已经是第7个年头。近年来，宁波保税区按照市委市政府部署要求，充分发挥其对外开放、功能政策和区位优势，中东欧常年展不断扩大市场规模，丰富商品品类，创新贸易方式，畅通内销渠道。目前，中东欧常年展项目已在全国6省16市设立了36家中东欧特色商品直销中心，并与保税区中东欧贸易物流园基地形成了“前店后仓”联动发展的格局，已经成为国内覆盖最全、品类最丰富、辐射最广、模式最新的中东欧商品贸易促进平台。</w:t>
      </w:r>
    </w:p>
    <w:p>
      <w:pPr>
        <w:spacing w:line="440" w:lineRule="exact"/>
        <w:ind w:firstLine="480" w:firstLineChars="200"/>
        <w:rPr>
          <w:rFonts w:ascii="Times New Roman" w:hAnsi="宋体"/>
          <w:sz w:val="24"/>
          <w:szCs w:val="24"/>
        </w:rPr>
      </w:pPr>
      <w:r>
        <w:rPr>
          <w:rFonts w:hint="eastAsia" w:ascii="Times New Roman" w:hAnsi="宋体"/>
          <w:sz w:val="24"/>
          <w:szCs w:val="24"/>
        </w:rPr>
        <w:t>随后赴协会副会长单位贝发集团参观考察。大家先后参观了贝发企业文化展厅、文器库展厅、国际展厅和贝发知乐等场景，对贝发以“数字和科技”赋能，整合产业链以及创新发展战略有了充分的了解。在座谈会上，贝发集团董事长邱智铭详细介绍了贝发集团的研发模式和终端业态，目前在本行业材料的精细化工、跨界赋能、能量共振等方面研发成果，以及近年来贝发集团积极发挥行业领头作用，着力打造文创行业互联网生态平台，积极创新理念服务消费者的相关情况。张荣阳会长对贝发集团从一支笔做起，成长为中国制造的一个代表，如今发展愈加多元化表示非常赞赏。</w:t>
      </w:r>
    </w:p>
    <w:p>
      <w:pPr>
        <w:spacing w:line="440" w:lineRule="exact"/>
        <w:ind w:firstLine="480" w:firstLineChars="200"/>
        <w:rPr>
          <w:rFonts w:ascii="华文彩云" w:hAnsi="宋体" w:eastAsia="华文彩云"/>
          <w:sz w:val="36"/>
          <w:szCs w:val="36"/>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Times New Roman" w:hAnsi="宋体"/>
          <w:sz w:val="24"/>
          <w:szCs w:val="24"/>
        </w:rPr>
        <w:t>之后，辽宁省外企协一行与我会秘书处展开了进一步交流，探讨了协会的内部建设及会员服务模式，倡导各地商协会要时常往来，互通有无。同时邀请到了协会常务理事单位富通天下周文权总经理为来宾介绍宁波当地的数字化平台运行模式，期待下一步能为更多的辽宁省外贸企业提供服务。</w:t>
      </w: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热点聚焦</w:t>
      </w:r>
    </w:p>
    <w:p>
      <w:pPr>
        <w:spacing w:line="440" w:lineRule="exact"/>
        <w:jc w:val="left"/>
        <w:rPr>
          <w:rFonts w:ascii="楷体_GB2312" w:hAnsi="宋体" w:eastAsia="楷体_GB2312"/>
          <w:b/>
          <w:bCs/>
          <w:sz w:val="36"/>
          <w:szCs w:val="36"/>
        </w:rPr>
      </w:pPr>
    </w:p>
    <w:p>
      <w:pPr>
        <w:spacing w:line="440" w:lineRule="exact"/>
        <w:jc w:val="left"/>
        <w:rPr>
          <w:rFonts w:ascii="楷体_GB2312" w:hAnsi="宋体" w:eastAsia="楷体_GB2312"/>
          <w:b/>
          <w:bCs/>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 xml:space="preserve">人民币汇率创2018年5月以来新高 </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外贸高景气与全球资本流入成“新引擎”</w:t>
      </w:r>
    </w:p>
    <w:p>
      <w:pPr>
        <w:spacing w:line="440" w:lineRule="exact"/>
        <w:ind w:firstLine="480" w:firstLineChars="200"/>
        <w:rPr>
          <w:rFonts w:ascii="Times New Roman" w:hAnsi="宋体"/>
          <w:sz w:val="24"/>
          <w:szCs w:val="24"/>
        </w:rPr>
        <w:sectPr>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hint="eastAsia" w:ascii="Times New Roman" w:hAnsi="宋体"/>
          <w:sz w:val="24"/>
          <w:szCs w:val="24"/>
        </w:rPr>
      </w:pPr>
      <w:r>
        <w:rPr>
          <w:rFonts w:hint="eastAsia" w:ascii="Times New Roman" w:hAnsi="宋体"/>
          <w:sz w:val="24"/>
          <w:szCs w:val="24"/>
        </w:rPr>
        <w:t>中国央行降低存款准备金率，似乎无法阻止人民币汇率持续上涨。</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截至12月8日20时，境内在岸市场人民币兑美元汇率(CNY)触及6.3486，盘中一度创下2018年5月以来最高值6.3456，境外离岸市场人民币兑美元汇率(CNH)则徘徊在6.3444附近，盘中也创下2018年6月以来最高值6.3389。</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这令众多海外对冲基金相当惊讶，为何中国央行降准措施没有令人民币汇率回落。”一位香港银行外汇交易员指出。此前，不少海外对冲基金将中国央行降准举措视为“压低人民币汇率”的一项重要举措，甚至部分海外投机资本还在炒作中美货币政策再度分化（美联储收紧货币政策，中国央行“放宽”货币政策），押注人民币汇率回调。</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但是，8日早盘起境内外人民币汇率双双直线上涨创下过去三年半以来新高，令他们不得不紧急平仓空头头寸止损离场，反而扩大了人民币汇率涨幅。</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一位国有大型银行外汇交易员分析说，当前人民币汇率在中美货币政策分化情况下不跌反涨，主要受到三大因素影响，一是中国外贸高景气度延续，令年底前企业结汇需求持续旺盛；二是近日北向资金流入A股的日均资金接近百亿，加之海外资本大举加仓境内债券，令人民币需求持续增加；三是奥密克戎新疫情令全球经济再遇波折之际，中国良好的防疫措施与经济稳健增长基本面，令海外投资机构纷纷调高人民币汇率估值。</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一位华尔街对冲基金经理透露，目前他们正在调整人民币汇率估值模型，包括削减中美货币政策分化因子权重，增加中国外贸高景气度与资本流入因子权重等。</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他直言，若中国相关部门不采取汇市干预措施，人民币汇率短期内将很快上涨突破6.3整数关口。</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这背后，是越来越多海外投资机构意识到，若奥密克戎疫情扩散导致多国经济再度遭遇冲击，大量全球订单将涌入中国继续推高当地外贸高景气度，令人民币汇率持续水涨船高。”这位华尔街对冲基金经理直言。</w:t>
      </w:r>
    </w:p>
    <w:p>
      <w:pPr>
        <w:spacing w:line="440" w:lineRule="exact"/>
        <w:ind w:firstLine="482" w:firstLineChars="200"/>
        <w:rPr>
          <w:rFonts w:hint="eastAsia" w:ascii="Times New Roman" w:hAnsi="宋体"/>
          <w:b/>
          <w:bCs/>
          <w:sz w:val="24"/>
          <w:szCs w:val="24"/>
        </w:rPr>
      </w:pPr>
      <w:r>
        <w:rPr>
          <w:rFonts w:hint="eastAsia" w:ascii="Times New Roman" w:hAnsi="宋体"/>
          <w:b/>
          <w:bCs/>
          <w:sz w:val="24"/>
          <w:szCs w:val="24"/>
        </w:rPr>
        <w:t>中美货币政策分化缘何无力阻止汇率走强</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押注中美货币政策分化而沽空人民币汇率的对冲基金，这次失算了。”上述香港银行外汇交易员透露。在近日中国央行降低存款准备金率后，不少海外对冲基金意识到中美货币政策再度悄然分化，纷纷在6.37-6.38之间沽空人民币汇率套利。</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毕竟，以往当中美货币政策分化时（尤其是美联储收紧货币政策，中国央行仍延续相对宽松货币政策），人民币汇率总会出现一轮回调走势，吸引了这些海外对冲基金“如法炮制”。</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然而，令他们没想到的是，此次人民币汇率不跌反涨。</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12月8日早盘起，境内外人民币汇率呈现直线上涨态势，迅速创下过去三年半以来的最高值。</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这位香港银行外汇交易员告诉记者，12月8日买涨人民币的最大资本力量，主要来自商业银行。这背后，可能是这些商业银行看到年底前外贸企业结汇需求日益旺盛，转而买涨人民币。</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央行发布的数据显示，今年前三季度，外币存款增加1034亿美元，同比多增125亿美元。截至9月底，外币存款余额达到9927亿美元，同比增长17%。</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多位银行业内人士指出，随着第四季度外贸高景气度持续，今年外币存款增加额可能突破1400亿美元。且相当部分的新增外币存款将在年底前通过结汇转化成人民币，用于企业经营资金周转。在他们看来，如此庞大的结汇资金，大大高于对冲基金借中美货币政策分化开展沽空人民币套利的资金量，不但令人民币汇率持续上涨，还打了空头一个措手不及，迫使他们不得不平仓空头止损离场。</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一位股份制银行对公业务部门主管透露，目前，越来越多外贸企业正进入“越升值、越结汇”的操作循环——随着人民币汇率持续升值，若他们不加快结汇步伐，未来结汇损失就会更大。</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此外，近日北向资金持续大举流入A股，加之众多海外资本大幅加仓境内债券，也是人民币汇率无视中美货币政策分化持续走高的另一个驱动因素。</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尤其是近日流入A股的北向资金日均规模达到百亿元，令部分嗅觉敏锐的量化投资型对冲基金想到5月底人民币汇率快速升值期间，北向资金日均流入额同样接近百亿规模。”上述华尔街对冲基金经理直言，这驱动众多量化投资型对冲基金转而积极买涨人民币狙击空头获利。</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不过，鉴于5月底中国相关部门及时应对了人民币汇率快速上涨，目前众多大型资管机构正密切关注中国相关部门是否认可当前人民币汇率估值，再决定是否加入买涨人民币阵营。</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值得注意的是，受益人民币汇率升值预期升温，这些大型资管机构在加仓人民币债券同时，降低了汇率风险对冲操作力度。</w:t>
      </w:r>
    </w:p>
    <w:p>
      <w:pPr>
        <w:spacing w:line="440" w:lineRule="exact"/>
        <w:ind w:firstLine="482" w:firstLineChars="200"/>
        <w:rPr>
          <w:rFonts w:hint="eastAsia" w:ascii="Times New Roman" w:hAnsi="宋体"/>
          <w:b/>
          <w:bCs/>
          <w:sz w:val="24"/>
          <w:szCs w:val="24"/>
        </w:rPr>
      </w:pPr>
      <w:r>
        <w:rPr>
          <w:rFonts w:hint="eastAsia" w:ascii="Times New Roman" w:hAnsi="宋体"/>
          <w:b/>
          <w:bCs/>
          <w:sz w:val="24"/>
          <w:szCs w:val="24"/>
        </w:rPr>
        <w:t>海外对冲基金紧急优化人民币汇率估值模型</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记者多方了解到，人民币汇率持续上涨迭创新高，也令越来越多海外对冲基金不得不调整人民币汇率估值模型。</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显然，以中美货币政策分化判断人民币汇率未来波动方向的做法，很可能失效了。”前述华尔街对冲基金经理感慨说。究其原因，是疫情暴发以来，越来越多投资机构认为人民币汇率涨跌，主要受到中国经济增长基本面是否稳健、防疫措施是否持续见效、外贸高景气度是否延续等因素影响，相比而言，中美货币政策分化等因子被无形间弱化。</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一位欧洲大型资管机构资产配置部门主管直言，很多对冲基金之所以认为中美货币政策方向分化会导致人民币汇率回调，一个重要原因是他们押注中美利差将因此收窄。但事实上，本周以来中美利差维持在142个基点附近，反而较上周末上涨了3个基点。</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这背后，是影响美债收益率的因素也在发生新的变化，尽管市场普遍预期美联储明年将加息三次（理应令美债收益率走高），但事实上，当前美国经济增速放缓与高通胀状况持续，令越来越多资本涌入美债资产避险，反而推低了美债收益率，令中美利差在中美货币政策分化压力下不跌反涨。”他分析说。某种程度而言，中美利差与中美货币政策分化的相关性减弱，势必影响中美利差与人民币汇率之间的相关性，其结果是中美货币政策分化无力阻止中美利差与人民币汇率双双走高。</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目前，很多全球大型资管机构都注意到这个新变化，正迅速减弱中美货币政策分化因子在人民币汇率估值模型的权重，转而加大外贸高景气度、资本流入等因子的权重，从而更全面精准地反映当前人民币汇率形成机制的最新变化。”这位欧洲大型资管机构资产配置部门主管指出。（21世纪经济报道12-09）</w:t>
      </w:r>
    </w:p>
    <w:p>
      <w:pPr>
        <w:spacing w:line="440" w:lineRule="exact"/>
        <w:ind w:firstLine="480" w:firstLineChars="200"/>
        <w:rPr>
          <w:rFonts w:hint="eastAsia"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200"/>
        <w:rPr>
          <w:rFonts w:ascii="楷体_GB2312" w:hAnsi="宋体" w:eastAsia="楷体_GB2312"/>
          <w:b/>
          <w:bCs/>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ind w:firstLine="200"/>
        <w:rPr>
          <w:rFonts w:ascii="楷体_GB2312" w:hAnsi="宋体" w:eastAsia="楷体_GB2312"/>
          <w:b/>
          <w:bCs/>
          <w:sz w:val="36"/>
          <w:szCs w:val="36"/>
        </w:rPr>
      </w:pPr>
    </w:p>
    <w:p>
      <w:pPr>
        <w:spacing w:line="440" w:lineRule="exact"/>
        <w:jc w:val="center"/>
        <w:rPr>
          <w:rFonts w:ascii="楷体_GB2312" w:hAnsi="宋体" w:eastAsia="楷体_GB2312"/>
          <w:b/>
          <w:bCs/>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楷体_GB2312" w:hAnsi="宋体" w:eastAsia="楷体_GB2312"/>
          <w:b/>
          <w:bCs/>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楷体_GB2312" w:hAnsi="宋体" w:eastAsia="楷体_GB2312"/>
          <w:b/>
          <w:bCs/>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外贸企业应秉承“汇率风险中性”原则，</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做好风险管理</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中央经济工作会议定调2022年经济“稳字当头，稳中求进”。汇率市场的稳定是“稳金融”“稳预期”的重要组成。疫情以来，中国汇率市场出现了一些悖于常识的现象：如央行降准之后人民币汇率大幅升值；美元升值与人民币升值同现等。这些现象主要因人民币单边升值预期及人民币单边行情所致。12月9日，央行发布公告，决定自2021年12月15日起，上调金融机构外汇存款准备金率2个百分点，即外汇存款准备金率由现行的7%提高到9%，调整之后离岸和在岸人民币迅速调整。</w:t>
      </w:r>
    </w:p>
    <w:p>
      <w:pPr>
        <w:spacing w:line="440" w:lineRule="exact"/>
        <w:ind w:firstLine="480" w:firstLineChars="200"/>
        <w:rPr>
          <w:rFonts w:ascii="Times New Roman" w:hAnsi="宋体"/>
          <w:sz w:val="24"/>
          <w:szCs w:val="24"/>
        </w:rPr>
      </w:pPr>
      <w:r>
        <w:rPr>
          <w:rFonts w:hint="eastAsia" w:ascii="Times New Roman" w:hAnsi="宋体"/>
          <w:sz w:val="24"/>
          <w:szCs w:val="24"/>
        </w:rPr>
        <w:t>这是央行年内第二次上调外汇存款准备金率，其背景之一是当天公布的11月金融机构外汇各项存款余额录得10200亿美元，连续两个月1万亿美元以上。今年4、5月金融机构外汇存款连续突破1万亿美元之后，5月底央行宣布调升外汇存款准备金率2个百分点至7%。央行在金融机构外汇存款突破万亿美元，人民币兑美元持续升值的条件下将金融机构外汇存款准备金率上调，以吸收金融机构过多的外汇存款，打消人民币单边升值行情，维持外汇市场双边波动。本次外汇存款准备金率提高2%，约冻结金融机构200亿美元存款，与中国外汇市场月成交2.7万亿美元规模（2021年10月数据）相比较为有限。但监管层纠偏单边行情预期，维护外汇市场稳定的意图是非常明确的。</w:t>
      </w:r>
    </w:p>
    <w:p>
      <w:pPr>
        <w:spacing w:line="440" w:lineRule="exact"/>
        <w:ind w:firstLine="480" w:firstLineChars="200"/>
        <w:rPr>
          <w:rFonts w:ascii="Times New Roman" w:hAnsi="宋体"/>
          <w:sz w:val="24"/>
          <w:szCs w:val="24"/>
        </w:rPr>
      </w:pPr>
      <w:r>
        <w:rPr>
          <w:rFonts w:hint="eastAsia" w:ascii="Times New Roman" w:hAnsi="宋体"/>
          <w:sz w:val="24"/>
          <w:szCs w:val="24"/>
        </w:rPr>
        <w:t>今年9月底以来美元指数和人民币一篮子汇率指数走势出现了背离，既有趋势上的背离，也有时间上的错位。美元指数走强的幅度不及人民币汇率指数走强的幅度，导致美元指数上升同时人民币兑美元也出现升值。人民币兑美元升值的原因主要有：一是中美政策利差和十年期国债利差处于相对高位。政策基准利差来看，美国联邦基金利率与中国7天银行间质押式回购加权利率目前两者差值大约210BP，处于近两年适中水平，但远高于疫情前利差值；长端利差来看，中美十年期国债收益率目前大约相差140BP左右，较年初200BP左右的利差有所下降，但接近2019年下半年利差中枢水平。其次，2020年5月-2021年11月，中美两国货币政策相悖。美联储11月议息会议才确定11月开始进行Taper。而中国央行在2020年5月之后货币政策基本常态化，中国央行领先于美联储实现货币政策常态化。第三，购买力平价揭示高通胀国家货币兑低通胀国家汇率贬值。2020年中国核心CPI一度进入“0”时代，而2021年以来美国核心CPI大幅上涨，2021年10月一度到达4.6%，于是人民币兑美元出现显著升值。第四，疫情以来中国居民和企业被动增加了外汇存款。海外疫情复杂使得中国居民出国使用外汇的机会减少；而且11月前美元走势不及预期，使得居民外汇投资意愿不足。第五，中国外汇收支保持平衡且有盈余。不仅经常项目顺差扩大，海外资金持续流入也加大了资本和金融账户盈余。去年以来中国货物贸易顺差规模持续扩大，2021年10年中国外贸顺差已超过845亿美元，是疫情以来的最大值，且持续保持两位数的出口增速。外贸企业外汇收入大幅增加，且服务项逆差规模降幅收窄。居民海外的外汇收益和经常性转移已显著高于疫情前。中国疫情控制较好，也较大的吸引了海外直接投资。因人民币升值，相关人民币资产也吸引外资流入，如股市、汇市和债市的资金流入。第六，外储是汇率稳定的重要支撑。2021年10月中国外汇储备3.218万亿美元，高于疫情之前2019年同期水平。最后，外汇交易市场活跃或助推了两国货币走势相悖。2020年6月以后中国外汇交易总额上升至每月3万亿美元左右，疫情前每月大约2.5万亿美元左右。美元贬值预期助推了外汇市场交易的活跃程度。</w:t>
      </w:r>
    </w:p>
    <w:p>
      <w:pPr>
        <w:spacing w:line="440" w:lineRule="exact"/>
        <w:ind w:firstLine="480" w:firstLineChars="200"/>
        <w:rPr>
          <w:rFonts w:ascii="楷体_GB2312" w:hAnsi="宋体" w:eastAsia="楷体_GB2312"/>
          <w:b/>
          <w:bCs/>
          <w:sz w:val="36"/>
          <w:szCs w:val="36"/>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金融机构外汇存款准备金上调迅速打消了人民币单边行情。但当前正值年末季节性结汇时期，客盘主导市场可能持续到明年一季度。且2021年以来中国商业银行代客结售汇已经9个月处于顺差格局，市场结汇意愿较强烈。若短时间内人民币过快升值的局面无法扭转，不排除监管层还有其它外汇审慎措施出台的可能性。比如启用金融机构的跨境融资宏观审慎调节参数、重启逆周期因子等调控手段。鉴于美联储2022年一季度或结束Taper，通胀可能迫使美联储2022年提前加息，那么美元指数预计明年将继续升值。预计明年美元兑人民币中间价中枢在6.6左右。整体上中国外汇市场是有效市场，汇率价格发现功能强，单边行情也将很快被纠偏。总之外汇市场双边波动是常态，单边多头和单边空头趋势均不可持续，广大从事外贸的企业应秉承“汇率风险中性”原则，积极做好外汇风险管理。（21世纪经济报道12-14）</w:t>
      </w:r>
    </w:p>
    <w:p>
      <w:pPr>
        <w:spacing w:line="440" w:lineRule="exact"/>
        <w:jc w:val="both"/>
        <w:rPr>
          <w:rFonts w:ascii="楷体_GB2312" w:hAnsi="宋体" w:eastAsia="楷体_GB2312"/>
          <w:b/>
          <w:bCs/>
          <w:sz w:val="36"/>
          <w:szCs w:val="36"/>
        </w:rPr>
      </w:pPr>
    </w:p>
    <w:p>
      <w:pPr>
        <w:spacing w:line="440" w:lineRule="exact"/>
        <w:jc w:val="center"/>
        <w:rPr>
          <w:rFonts w:ascii="楷体_GB2312" w:hAnsi="宋体" w:eastAsia="楷体_GB2312"/>
          <w:b/>
          <w:bCs/>
          <w:sz w:val="36"/>
          <w:szCs w:val="36"/>
        </w:rPr>
      </w:pPr>
    </w:p>
    <w:p>
      <w:pPr>
        <w:spacing w:line="440" w:lineRule="exact"/>
        <w:jc w:val="left"/>
        <w:rPr>
          <w:rFonts w:ascii="华文彩云" w:hAnsi="宋体" w:eastAsia="华文彩云"/>
          <w:sz w:val="36"/>
          <w:szCs w:val="36"/>
        </w:rPr>
      </w:pPr>
      <w:r>
        <w:rPr>
          <w:rFonts w:hint="eastAsia" w:ascii="华文彩云" w:hAnsi="宋体" w:eastAsia="华文彩云"/>
          <w:sz w:val="36"/>
          <w:szCs w:val="36"/>
        </w:rPr>
        <w:t>◎</w:t>
      </w:r>
      <w:r>
        <w:rPr>
          <w:rFonts w:hint="eastAsia" w:ascii="华文彩云" w:hAnsi="宋体" w:eastAsia="华文彩云"/>
          <w:b/>
          <w:sz w:val="36"/>
          <w:szCs w:val="36"/>
        </w:rPr>
        <w:t>政策法规</w:t>
      </w:r>
    </w:p>
    <w:p>
      <w:pPr>
        <w:adjustRightInd w:val="0"/>
        <w:snapToGrid w:val="0"/>
        <w:spacing w:line="440" w:lineRule="exact"/>
        <w:jc w:val="left"/>
        <w:rPr>
          <w:rFonts w:ascii="宋体" w:hAnsi="宋体"/>
          <w:sz w:val="24"/>
          <w:szCs w:val="24"/>
        </w:rPr>
      </w:pPr>
    </w:p>
    <w:p>
      <w:pPr>
        <w:adjustRightInd w:val="0"/>
        <w:snapToGrid w:val="0"/>
        <w:spacing w:line="440" w:lineRule="exact"/>
        <w:jc w:val="left"/>
        <w:rPr>
          <w:rFonts w:ascii="华文彩云" w:hAnsi="宋体" w:eastAsia="华文彩云"/>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关于公布《海关高级认证企业标准》的公告</w:t>
      </w:r>
    </w:p>
    <w:p>
      <w:pPr>
        <w:spacing w:line="500" w:lineRule="exact"/>
        <w:jc w:val="center"/>
        <w:rPr>
          <w:rFonts w:ascii="华文细黑" w:hAnsi="华文细黑" w:eastAsia="华文细黑"/>
          <w:sz w:val="28"/>
          <w:szCs w:val="28"/>
        </w:rPr>
      </w:pPr>
      <w:r>
        <w:rPr>
          <w:rFonts w:hint="eastAsia" w:ascii="华文细黑" w:hAnsi="华文细黑" w:eastAsia="华文细黑"/>
          <w:sz w:val="28"/>
          <w:szCs w:val="28"/>
        </w:rPr>
        <w:t>海关总署公告〔2021〕88号</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现将《中华人民共和国海关注册登记和备案企业信用管理办法》（海关总署令第251号）配套执行的《高级认证企业标准》（含通用标准和进出口货物收发货人、报关企业、外贸综合服务企业、跨境电子商务平台企业、进出境快件运营人、水运物流运输企业、公路物流运输企业、航空物流运输企业单项标准）予以发布，自2021年11月1日起施行。海关总署公告2018年第177号、2019年第46号、2019年第229号、2020年第137号同时废止。</w:t>
      </w:r>
    </w:p>
    <w:p>
      <w:pPr>
        <w:spacing w:line="440" w:lineRule="exact"/>
        <w:ind w:firstLine="480" w:firstLineChars="200"/>
        <w:rPr>
          <w:rFonts w:ascii="Times New Roman" w:hAnsi="宋体"/>
          <w:sz w:val="24"/>
          <w:szCs w:val="24"/>
        </w:rPr>
      </w:pPr>
      <w:r>
        <w:rPr>
          <w:rFonts w:hint="eastAsia" w:ascii="Times New Roman" w:hAnsi="宋体"/>
          <w:sz w:val="24"/>
          <w:szCs w:val="24"/>
        </w:rPr>
        <w:t>特此公告。</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w:t>
      </w:r>
      <w:r>
        <w:rPr>
          <w:rFonts w:hint="eastAsia" w:ascii="Times New Roman" w:hAnsi="宋体"/>
          <w:sz w:val="24"/>
          <w:szCs w:val="24"/>
        </w:rPr>
        <w:t>海关高级认证企业标准说明</w:t>
      </w:r>
      <w:r>
        <w:rPr>
          <w:rFonts w:hint="eastAsia" w:asciiTheme="minorEastAsia" w:hAnsiTheme="minorEastAsia"/>
          <w:sz w:val="24"/>
          <w:szCs w:val="24"/>
        </w:rPr>
        <w:t>》、《</w:t>
      </w:r>
      <w:r>
        <w:rPr>
          <w:rFonts w:hint="eastAsia" w:ascii="Times New Roman" w:hAnsi="宋体"/>
          <w:sz w:val="24"/>
          <w:szCs w:val="24"/>
        </w:rPr>
        <w:t>海关高级认证企业标准（通用标准）</w:t>
      </w:r>
      <w:r>
        <w:rPr>
          <w:rFonts w:hint="eastAsia" w:asciiTheme="minorEastAsia" w:hAnsiTheme="minorEastAsia"/>
          <w:sz w:val="24"/>
          <w:szCs w:val="24"/>
        </w:rPr>
        <w:t>》、《</w:t>
      </w:r>
      <w:r>
        <w:rPr>
          <w:rFonts w:hint="eastAsia" w:ascii="Times New Roman" w:hAnsi="宋体"/>
          <w:sz w:val="24"/>
          <w:szCs w:val="24"/>
        </w:rPr>
        <w:t>海关高级认证企业标准（进出口货物收发货人）</w:t>
      </w:r>
      <w:r>
        <w:rPr>
          <w:rFonts w:hint="eastAsia" w:asciiTheme="minorEastAsia" w:hAnsiTheme="minorEastAsia"/>
          <w:sz w:val="24"/>
          <w:szCs w:val="24"/>
        </w:rPr>
        <w:t>》、《</w:t>
      </w:r>
      <w:r>
        <w:rPr>
          <w:rFonts w:hint="eastAsia" w:ascii="Times New Roman" w:hAnsi="宋体"/>
          <w:sz w:val="24"/>
          <w:szCs w:val="24"/>
        </w:rPr>
        <w:t>海关高级认证企业标准（报关企业）</w:t>
      </w:r>
      <w:r>
        <w:rPr>
          <w:rFonts w:hint="eastAsia" w:asciiTheme="minorEastAsia" w:hAnsiTheme="minorEastAsia"/>
          <w:sz w:val="24"/>
          <w:szCs w:val="24"/>
        </w:rPr>
        <w:t>》、《</w:t>
      </w:r>
      <w:r>
        <w:rPr>
          <w:rFonts w:hint="eastAsia" w:ascii="Times New Roman" w:hAnsi="宋体"/>
          <w:sz w:val="24"/>
          <w:szCs w:val="24"/>
        </w:rPr>
        <w:t>海关高级认证企业标准（外贸综合服务企业）</w:t>
      </w:r>
      <w:r>
        <w:rPr>
          <w:rFonts w:hint="eastAsia" w:asciiTheme="minorEastAsia" w:hAnsiTheme="minorEastAsia"/>
          <w:sz w:val="24"/>
          <w:szCs w:val="24"/>
        </w:rPr>
        <w:t>》、《</w:t>
      </w:r>
      <w:r>
        <w:rPr>
          <w:rFonts w:hint="eastAsia" w:ascii="Times New Roman" w:hAnsi="宋体"/>
          <w:sz w:val="24"/>
          <w:szCs w:val="24"/>
        </w:rPr>
        <w:t>海关高级认证企业标准（跨境电子商务平台企业）</w:t>
      </w:r>
      <w:r>
        <w:rPr>
          <w:rFonts w:hint="eastAsia" w:asciiTheme="minorEastAsia" w:hAnsiTheme="minorEastAsia"/>
          <w:sz w:val="24"/>
          <w:szCs w:val="24"/>
        </w:rPr>
        <w:t>》、《</w:t>
      </w:r>
      <w:r>
        <w:rPr>
          <w:rFonts w:hint="eastAsia" w:ascii="Times New Roman" w:hAnsi="宋体"/>
          <w:sz w:val="24"/>
          <w:szCs w:val="24"/>
        </w:rPr>
        <w:t>海关高级认证企业标准（进出境快件运营人）</w:t>
      </w:r>
      <w:r>
        <w:rPr>
          <w:rFonts w:hint="eastAsia" w:asciiTheme="minorEastAsia" w:hAnsiTheme="minorEastAsia"/>
          <w:sz w:val="24"/>
          <w:szCs w:val="24"/>
        </w:rPr>
        <w:t>》、《</w:t>
      </w:r>
      <w:r>
        <w:rPr>
          <w:rFonts w:hint="eastAsia" w:ascii="Times New Roman" w:hAnsi="宋体"/>
          <w:sz w:val="24"/>
          <w:szCs w:val="24"/>
        </w:rPr>
        <w:t>海关高级认证企业标准（水运物流运输企业）</w:t>
      </w:r>
      <w:r>
        <w:rPr>
          <w:rFonts w:hint="eastAsia" w:asciiTheme="minorEastAsia" w:hAnsiTheme="minorEastAsia"/>
          <w:sz w:val="24"/>
          <w:szCs w:val="24"/>
        </w:rPr>
        <w:t>》、《</w:t>
      </w:r>
      <w:r>
        <w:rPr>
          <w:rFonts w:hint="eastAsia" w:ascii="Times New Roman" w:hAnsi="宋体"/>
          <w:sz w:val="24"/>
          <w:szCs w:val="24"/>
        </w:rPr>
        <w:t>海关高级认证企业标准（公路物流运输企业）</w:t>
      </w:r>
      <w:r>
        <w:rPr>
          <w:rFonts w:hint="eastAsia" w:asciiTheme="minorEastAsia" w:hAnsiTheme="minorEastAsia"/>
          <w:sz w:val="24"/>
          <w:szCs w:val="24"/>
        </w:rPr>
        <w:t>》、《</w:t>
      </w:r>
      <w:r>
        <w:rPr>
          <w:rFonts w:hint="eastAsia" w:ascii="Times New Roman" w:hAnsi="宋体"/>
          <w:sz w:val="24"/>
          <w:szCs w:val="24"/>
        </w:rPr>
        <w:t>海关高级认证企业标准（航空物流运输企业）</w:t>
      </w:r>
      <w:r>
        <w:rPr>
          <w:rFonts w:hint="eastAsia" w:asciiTheme="minorEastAsia" w:hAnsiTheme="minorEastAsia"/>
          <w:sz w:val="24"/>
          <w:szCs w:val="24"/>
        </w:rPr>
        <w:t>》请登录www.customs.gov.cn查询）</w:t>
      </w:r>
    </w:p>
    <w:p>
      <w:pPr>
        <w:spacing w:line="440" w:lineRule="exact"/>
        <w:ind w:firstLine="480" w:firstLineChars="200"/>
        <w:rPr>
          <w:rFonts w:ascii="Times New Roman" w:hAnsi="宋体"/>
          <w:sz w:val="24"/>
          <w:szCs w:val="24"/>
        </w:rPr>
      </w:pPr>
    </w:p>
    <w:p>
      <w:pPr>
        <w:spacing w:line="440" w:lineRule="exact"/>
        <w:ind w:right="480" w:firstLine="480" w:firstLineChars="200"/>
        <w:jc w:val="right"/>
        <w:rPr>
          <w:rFonts w:ascii="Times New Roman" w:hAnsi="宋体"/>
          <w:sz w:val="24"/>
          <w:szCs w:val="24"/>
        </w:rPr>
      </w:pPr>
      <w:r>
        <w:rPr>
          <w:rFonts w:hint="eastAsia" w:ascii="Times New Roman" w:hAnsi="宋体"/>
          <w:sz w:val="24"/>
          <w:szCs w:val="24"/>
        </w:rPr>
        <w:t>海关总署</w:t>
      </w:r>
    </w:p>
    <w:p>
      <w:pPr>
        <w:spacing w:line="440" w:lineRule="exact"/>
        <w:ind w:firstLine="480" w:firstLineChars="200"/>
        <w:jc w:val="right"/>
        <w:rPr>
          <w:rFonts w:ascii="Times New Roman" w:hAnsi="宋体"/>
          <w:sz w:val="24"/>
          <w:szCs w:val="24"/>
        </w:rPr>
      </w:pPr>
      <w:r>
        <w:rPr>
          <w:rFonts w:hint="eastAsia" w:ascii="Times New Roman" w:hAnsi="宋体"/>
          <w:sz w:val="24"/>
          <w:szCs w:val="24"/>
        </w:rPr>
        <w:t>2021年11月1日</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中华人民共和国海关经核准出口商管理办法</w:t>
      </w:r>
    </w:p>
    <w:p>
      <w:pPr>
        <w:spacing w:line="500" w:lineRule="exact"/>
        <w:jc w:val="center"/>
        <w:rPr>
          <w:rFonts w:ascii="华文细黑" w:hAnsi="华文细黑" w:eastAsia="华文细黑"/>
          <w:sz w:val="28"/>
          <w:szCs w:val="28"/>
        </w:rPr>
      </w:pPr>
      <w:r>
        <w:rPr>
          <w:rFonts w:hint="eastAsia" w:ascii="华文细黑" w:hAnsi="华文细黑" w:eastAsia="华文细黑"/>
          <w:sz w:val="28"/>
          <w:szCs w:val="28"/>
        </w:rPr>
        <w:t>署令〔2021〕254号</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第一条</w:t>
      </w:r>
      <w:bookmarkStart w:id="0" w:name="_GoBack"/>
      <w:bookmarkEnd w:id="0"/>
      <w:r>
        <w:rPr>
          <w:rFonts w:hint="eastAsia" w:ascii="Times New Roman" w:hAnsi="宋体"/>
          <w:sz w:val="24"/>
          <w:szCs w:val="24"/>
        </w:rPr>
        <w:t xml:space="preserve">  为了有效实施中华人民共和国缔结或者参加的优惠贸易协定项下经核准出口商管理制度，规范出口货物原产地管理，促进对外贸易，根据《中华人民共和国政府和冰岛政府自由贸易协定》《中华人民共和国和瑞士联邦自由贸易协定》《中华人民共和国政府和毛里求斯共和国政府自由贸易协定》《区域全面经济伙伴关系协定》等优惠贸易协定（以下统称“相关优惠贸易协定”）的规定，制定本办法。</w:t>
      </w:r>
    </w:p>
    <w:p>
      <w:pPr>
        <w:spacing w:line="440" w:lineRule="exact"/>
        <w:ind w:firstLine="480" w:firstLineChars="200"/>
        <w:rPr>
          <w:rFonts w:ascii="Times New Roman" w:hAnsi="宋体"/>
          <w:sz w:val="24"/>
          <w:szCs w:val="24"/>
        </w:rPr>
      </w:pPr>
      <w:r>
        <w:rPr>
          <w:rFonts w:hint="eastAsia" w:ascii="Times New Roman" w:hAnsi="宋体"/>
          <w:sz w:val="24"/>
          <w:szCs w:val="24"/>
        </w:rPr>
        <w:t>第二条  本办法所称的经核准出口商，是指经海关依法认定，可以对其出口或者生产的、具备相关优惠贸易协定项下原产资格的货物开具原产地声明的企业。</w:t>
      </w:r>
    </w:p>
    <w:p>
      <w:pPr>
        <w:spacing w:line="440" w:lineRule="exact"/>
        <w:ind w:firstLine="480" w:firstLineChars="200"/>
        <w:rPr>
          <w:rFonts w:ascii="Times New Roman" w:hAnsi="宋体"/>
          <w:sz w:val="24"/>
          <w:szCs w:val="24"/>
        </w:rPr>
      </w:pPr>
      <w:r>
        <w:rPr>
          <w:rFonts w:hint="eastAsia" w:ascii="Times New Roman" w:hAnsi="宋体"/>
          <w:sz w:val="24"/>
          <w:szCs w:val="24"/>
        </w:rPr>
        <w:t>第三条  海关按照诚信守法便利原则，对经核准出口商实施管理。</w:t>
      </w:r>
    </w:p>
    <w:p>
      <w:pPr>
        <w:spacing w:line="440" w:lineRule="exact"/>
        <w:ind w:firstLine="480" w:firstLineChars="200"/>
        <w:rPr>
          <w:rFonts w:ascii="Times New Roman" w:hAnsi="宋体"/>
          <w:sz w:val="24"/>
          <w:szCs w:val="24"/>
        </w:rPr>
      </w:pPr>
      <w:r>
        <w:rPr>
          <w:rFonts w:hint="eastAsia" w:ascii="Times New Roman" w:hAnsi="宋体"/>
          <w:sz w:val="24"/>
          <w:szCs w:val="24"/>
        </w:rPr>
        <w:t>海关建立经核准出口商管理信息化系统，提升经核准出口商管理便利化水平。</w:t>
      </w:r>
    </w:p>
    <w:p>
      <w:pPr>
        <w:spacing w:line="440" w:lineRule="exact"/>
        <w:ind w:firstLine="480" w:firstLineChars="200"/>
        <w:rPr>
          <w:rFonts w:ascii="Times New Roman" w:hAnsi="宋体"/>
          <w:sz w:val="24"/>
          <w:szCs w:val="24"/>
        </w:rPr>
      </w:pPr>
      <w:r>
        <w:rPr>
          <w:rFonts w:hint="eastAsia" w:ascii="Times New Roman" w:hAnsi="宋体"/>
          <w:sz w:val="24"/>
          <w:szCs w:val="24"/>
        </w:rPr>
        <w:t>第四条  经核准出口商应当符合以下条件：</w:t>
      </w:r>
    </w:p>
    <w:p>
      <w:pPr>
        <w:spacing w:line="440" w:lineRule="exact"/>
        <w:ind w:firstLine="480" w:firstLineChars="200"/>
        <w:rPr>
          <w:rFonts w:ascii="Times New Roman" w:hAnsi="宋体"/>
          <w:sz w:val="24"/>
          <w:szCs w:val="24"/>
        </w:rPr>
      </w:pPr>
      <w:r>
        <w:rPr>
          <w:rFonts w:hint="eastAsia" w:ascii="Times New Roman" w:hAnsi="宋体"/>
          <w:sz w:val="24"/>
          <w:szCs w:val="24"/>
        </w:rPr>
        <w:t>（一）海关高级认证企业；</w:t>
      </w:r>
    </w:p>
    <w:p>
      <w:pPr>
        <w:spacing w:line="440" w:lineRule="exact"/>
        <w:ind w:firstLine="480" w:firstLineChars="200"/>
        <w:rPr>
          <w:rFonts w:ascii="Times New Roman" w:hAnsi="宋体"/>
          <w:sz w:val="24"/>
          <w:szCs w:val="24"/>
        </w:rPr>
      </w:pPr>
      <w:r>
        <w:rPr>
          <w:rFonts w:hint="eastAsia" w:ascii="Times New Roman" w:hAnsi="宋体"/>
          <w:sz w:val="24"/>
          <w:szCs w:val="24"/>
        </w:rPr>
        <w:t>（二）掌握相关优惠贸易协定项下原产地规则；</w:t>
      </w:r>
    </w:p>
    <w:p>
      <w:pPr>
        <w:spacing w:line="440" w:lineRule="exact"/>
        <w:ind w:firstLine="480" w:firstLineChars="200"/>
        <w:rPr>
          <w:rFonts w:ascii="Times New Roman" w:hAnsi="宋体"/>
          <w:sz w:val="24"/>
          <w:szCs w:val="24"/>
        </w:rPr>
      </w:pPr>
      <w:r>
        <w:rPr>
          <w:rFonts w:hint="eastAsia" w:ascii="Times New Roman" w:hAnsi="宋体"/>
          <w:sz w:val="24"/>
          <w:szCs w:val="24"/>
        </w:rPr>
        <w:t>（三）建立完备的原产资格文件管理制度。</w:t>
      </w:r>
    </w:p>
    <w:p>
      <w:pPr>
        <w:spacing w:line="440" w:lineRule="exact"/>
        <w:ind w:firstLine="480" w:firstLineChars="200"/>
        <w:rPr>
          <w:rFonts w:ascii="Times New Roman" w:hAnsi="宋体"/>
          <w:sz w:val="24"/>
          <w:szCs w:val="24"/>
        </w:rPr>
      </w:pPr>
      <w:r>
        <w:rPr>
          <w:rFonts w:hint="eastAsia" w:ascii="Times New Roman" w:hAnsi="宋体"/>
          <w:sz w:val="24"/>
          <w:szCs w:val="24"/>
        </w:rPr>
        <w:t>第五条  企业申请成为经核准出口商的，应当向其住所地直属海关（以下统称主管海关）提交书面申请。书面申请应当包含以下内容：</w:t>
      </w:r>
    </w:p>
    <w:p>
      <w:pPr>
        <w:spacing w:line="440" w:lineRule="exact"/>
        <w:ind w:firstLine="480" w:firstLineChars="200"/>
        <w:rPr>
          <w:rFonts w:ascii="Times New Roman" w:hAnsi="宋体"/>
          <w:sz w:val="24"/>
          <w:szCs w:val="24"/>
        </w:rPr>
      </w:pPr>
      <w:r>
        <w:rPr>
          <w:rFonts w:hint="eastAsia" w:ascii="Times New Roman" w:hAnsi="宋体"/>
          <w:sz w:val="24"/>
          <w:szCs w:val="24"/>
        </w:rPr>
        <w:t>（一）企业中英文名称、中英文地址、统一社会信用代码、海关信用等级、企业类型、联系人信息等基本信息；</w:t>
      </w:r>
    </w:p>
    <w:p>
      <w:pPr>
        <w:spacing w:line="440" w:lineRule="exact"/>
        <w:ind w:firstLine="480" w:firstLineChars="200"/>
        <w:rPr>
          <w:rFonts w:ascii="Times New Roman" w:hAnsi="宋体"/>
          <w:sz w:val="24"/>
          <w:szCs w:val="24"/>
        </w:rPr>
      </w:pPr>
      <w:r>
        <w:rPr>
          <w:rFonts w:hint="eastAsia" w:ascii="Times New Roman" w:hAnsi="宋体"/>
          <w:sz w:val="24"/>
          <w:szCs w:val="24"/>
        </w:rPr>
        <w:t>（二）企业主要出口货物的中英文名称、规格型号、HS编码、适用的优惠贸易协定及具体原产地标准、货物所使用的全部材料及零部件组成情况等信息；</w:t>
      </w:r>
    </w:p>
    <w:p>
      <w:pPr>
        <w:spacing w:line="440" w:lineRule="exact"/>
        <w:ind w:firstLine="480" w:firstLineChars="200"/>
        <w:rPr>
          <w:rFonts w:ascii="Times New Roman" w:hAnsi="宋体"/>
          <w:sz w:val="24"/>
          <w:szCs w:val="24"/>
        </w:rPr>
      </w:pPr>
      <w:r>
        <w:rPr>
          <w:rFonts w:hint="eastAsia" w:ascii="Times New Roman" w:hAnsi="宋体"/>
          <w:sz w:val="24"/>
          <w:szCs w:val="24"/>
        </w:rPr>
        <w:t>（三）掌握相关优惠贸易协定项下原产地规则的承诺声明；</w:t>
      </w:r>
    </w:p>
    <w:p>
      <w:pPr>
        <w:spacing w:line="440" w:lineRule="exact"/>
        <w:ind w:firstLine="480" w:firstLineChars="200"/>
        <w:rPr>
          <w:rFonts w:ascii="Times New Roman" w:hAnsi="宋体"/>
          <w:sz w:val="24"/>
          <w:szCs w:val="24"/>
        </w:rPr>
      </w:pPr>
      <w:r>
        <w:rPr>
          <w:rFonts w:hint="eastAsia" w:ascii="Times New Roman" w:hAnsi="宋体"/>
          <w:sz w:val="24"/>
          <w:szCs w:val="24"/>
        </w:rPr>
        <w:t>（四）建立完备的货物原产资格文件管理制度的承诺声明；</w:t>
      </w:r>
    </w:p>
    <w:p>
      <w:pPr>
        <w:spacing w:line="440" w:lineRule="exact"/>
        <w:ind w:firstLine="480" w:firstLineChars="200"/>
        <w:rPr>
          <w:rFonts w:ascii="Times New Roman" w:hAnsi="宋体"/>
          <w:sz w:val="24"/>
          <w:szCs w:val="24"/>
        </w:rPr>
      </w:pPr>
      <w:r>
        <w:rPr>
          <w:rFonts w:hint="eastAsia" w:ascii="Times New Roman" w:hAnsi="宋体"/>
          <w:sz w:val="24"/>
          <w:szCs w:val="24"/>
        </w:rPr>
        <w:t>（五）拟加盖在原产地声明上的印章印模。</w:t>
      </w:r>
    </w:p>
    <w:p>
      <w:pPr>
        <w:spacing w:line="440" w:lineRule="exact"/>
        <w:ind w:firstLine="480" w:firstLineChars="200"/>
        <w:rPr>
          <w:rFonts w:ascii="Times New Roman" w:hAnsi="宋体"/>
          <w:sz w:val="24"/>
          <w:szCs w:val="24"/>
        </w:rPr>
      </w:pPr>
      <w:r>
        <w:rPr>
          <w:rFonts w:hint="eastAsia" w:ascii="Times New Roman" w:hAnsi="宋体"/>
          <w:sz w:val="24"/>
          <w:szCs w:val="24"/>
        </w:rPr>
        <w:t>申请材料涉及商业秘密的，应当在申请时以书面方式向主管海关提出保密要求，并且具体列明需要保密的内容。海关按照国家有关规定承担保密义务。</w:t>
      </w:r>
    </w:p>
    <w:p>
      <w:pPr>
        <w:spacing w:line="440" w:lineRule="exact"/>
        <w:ind w:firstLine="480" w:firstLineChars="200"/>
        <w:rPr>
          <w:rFonts w:ascii="Times New Roman" w:hAnsi="宋体"/>
          <w:sz w:val="24"/>
          <w:szCs w:val="24"/>
        </w:rPr>
      </w:pPr>
      <w:r>
        <w:rPr>
          <w:rFonts w:hint="eastAsia" w:ascii="Times New Roman" w:hAnsi="宋体"/>
          <w:sz w:val="24"/>
          <w:szCs w:val="24"/>
        </w:rPr>
        <w:t>第六条  主管海关应当自收到申请材料之日起30日内进行审核并作出决定。</w:t>
      </w:r>
    </w:p>
    <w:p>
      <w:pPr>
        <w:spacing w:line="440" w:lineRule="exact"/>
        <w:ind w:firstLine="480" w:firstLineChars="200"/>
        <w:rPr>
          <w:rFonts w:ascii="Times New Roman" w:hAnsi="宋体"/>
          <w:sz w:val="24"/>
          <w:szCs w:val="24"/>
        </w:rPr>
      </w:pPr>
      <w:r>
        <w:rPr>
          <w:rFonts w:hint="eastAsia" w:ascii="Times New Roman" w:hAnsi="宋体"/>
          <w:sz w:val="24"/>
          <w:szCs w:val="24"/>
        </w:rPr>
        <w:t>经审核，符合经核准出口商条件的，主管海关应当制发经核准出口商认定书，并给予经核准出口商编号；不符合经核准出口商条件的，主管海关应当制发不予认定经核准出口商决定书。</w:t>
      </w:r>
    </w:p>
    <w:p>
      <w:pPr>
        <w:spacing w:line="440" w:lineRule="exact"/>
        <w:ind w:firstLine="480" w:firstLineChars="200"/>
        <w:rPr>
          <w:rFonts w:ascii="Times New Roman" w:hAnsi="宋体"/>
          <w:sz w:val="24"/>
          <w:szCs w:val="24"/>
        </w:rPr>
      </w:pPr>
      <w:r>
        <w:rPr>
          <w:rFonts w:hint="eastAsia" w:ascii="Times New Roman" w:hAnsi="宋体"/>
          <w:sz w:val="24"/>
          <w:szCs w:val="24"/>
        </w:rPr>
        <w:t>经核准出口商认定书、不予认定经核准出口商决定书应当送达申请人，并且自送达之日起生效。</w:t>
      </w:r>
    </w:p>
    <w:p>
      <w:pPr>
        <w:spacing w:line="440" w:lineRule="exact"/>
        <w:ind w:firstLine="480" w:firstLineChars="200"/>
        <w:rPr>
          <w:rFonts w:ascii="Times New Roman" w:hAnsi="宋体"/>
          <w:sz w:val="24"/>
          <w:szCs w:val="24"/>
        </w:rPr>
      </w:pPr>
      <w:r>
        <w:rPr>
          <w:rFonts w:hint="eastAsia" w:ascii="Times New Roman" w:hAnsi="宋体"/>
          <w:sz w:val="24"/>
          <w:szCs w:val="24"/>
        </w:rPr>
        <w:t>第七条  经核准出口商认定的有效期为3年。</w:t>
      </w:r>
    </w:p>
    <w:p>
      <w:pPr>
        <w:spacing w:line="440" w:lineRule="exact"/>
        <w:ind w:firstLine="480" w:firstLineChars="200"/>
        <w:rPr>
          <w:rFonts w:ascii="Times New Roman" w:hAnsi="宋体"/>
          <w:sz w:val="24"/>
          <w:szCs w:val="24"/>
        </w:rPr>
      </w:pPr>
      <w:r>
        <w:rPr>
          <w:rFonts w:hint="eastAsia" w:ascii="Times New Roman" w:hAnsi="宋体"/>
          <w:sz w:val="24"/>
          <w:szCs w:val="24"/>
        </w:rPr>
        <w:t>经核准出口商可以在有效期届满前3个月内，向主管海关书面申请续展。每次续展的有效期为3年。</w:t>
      </w:r>
    </w:p>
    <w:p>
      <w:pPr>
        <w:spacing w:line="440" w:lineRule="exact"/>
        <w:ind w:firstLine="480" w:firstLineChars="200"/>
        <w:rPr>
          <w:rFonts w:ascii="Times New Roman" w:hAnsi="宋体"/>
          <w:sz w:val="24"/>
          <w:szCs w:val="24"/>
        </w:rPr>
      </w:pPr>
      <w:r>
        <w:rPr>
          <w:rFonts w:hint="eastAsia" w:ascii="Times New Roman" w:hAnsi="宋体"/>
          <w:sz w:val="24"/>
          <w:szCs w:val="24"/>
        </w:rPr>
        <w:t>第八条  海关总署依据中华人民共和国缔结或者参加的优惠贸易协定以及相关协议，与优惠贸易协定项下其他缔约方（以下简称其他缔约方）交换下列经核准出口商信息：</w:t>
      </w:r>
    </w:p>
    <w:p>
      <w:pPr>
        <w:spacing w:line="440" w:lineRule="exact"/>
        <w:ind w:firstLine="480" w:firstLineChars="200"/>
        <w:rPr>
          <w:rFonts w:ascii="Times New Roman" w:hAnsi="宋体"/>
          <w:sz w:val="24"/>
          <w:szCs w:val="24"/>
        </w:rPr>
      </w:pPr>
      <w:r>
        <w:rPr>
          <w:rFonts w:hint="eastAsia" w:ascii="Times New Roman" w:hAnsi="宋体"/>
          <w:sz w:val="24"/>
          <w:szCs w:val="24"/>
        </w:rPr>
        <w:t>（一）经核准出口商编号；</w:t>
      </w:r>
    </w:p>
    <w:p>
      <w:pPr>
        <w:spacing w:line="440" w:lineRule="exact"/>
        <w:ind w:firstLine="480" w:firstLineChars="200"/>
        <w:rPr>
          <w:rFonts w:ascii="Times New Roman" w:hAnsi="宋体"/>
          <w:sz w:val="24"/>
          <w:szCs w:val="24"/>
        </w:rPr>
      </w:pPr>
      <w:r>
        <w:rPr>
          <w:rFonts w:hint="eastAsia" w:ascii="Times New Roman" w:hAnsi="宋体"/>
          <w:sz w:val="24"/>
          <w:szCs w:val="24"/>
        </w:rPr>
        <w:t>（二）经核准出口商中英文名称；</w:t>
      </w:r>
    </w:p>
    <w:p>
      <w:pPr>
        <w:spacing w:line="440" w:lineRule="exact"/>
        <w:ind w:firstLine="480" w:firstLineChars="200"/>
        <w:rPr>
          <w:rFonts w:ascii="Times New Roman" w:hAnsi="宋体"/>
          <w:sz w:val="24"/>
          <w:szCs w:val="24"/>
        </w:rPr>
      </w:pPr>
      <w:r>
        <w:rPr>
          <w:rFonts w:hint="eastAsia" w:ascii="Times New Roman" w:hAnsi="宋体"/>
          <w:sz w:val="24"/>
          <w:szCs w:val="24"/>
        </w:rPr>
        <w:t>（三）经核准出口商中英文地址；</w:t>
      </w:r>
    </w:p>
    <w:p>
      <w:pPr>
        <w:spacing w:line="440" w:lineRule="exact"/>
        <w:ind w:firstLine="480" w:firstLineChars="200"/>
        <w:rPr>
          <w:rFonts w:ascii="Times New Roman" w:hAnsi="宋体"/>
          <w:sz w:val="24"/>
          <w:szCs w:val="24"/>
        </w:rPr>
      </w:pPr>
      <w:r>
        <w:rPr>
          <w:rFonts w:hint="eastAsia" w:ascii="Times New Roman" w:hAnsi="宋体"/>
          <w:sz w:val="24"/>
          <w:szCs w:val="24"/>
        </w:rPr>
        <w:t>（四）经核准出口商认定的生效日期和失效日期；</w:t>
      </w:r>
    </w:p>
    <w:p>
      <w:pPr>
        <w:spacing w:line="440" w:lineRule="exact"/>
        <w:ind w:firstLine="480" w:firstLineChars="200"/>
        <w:rPr>
          <w:rFonts w:ascii="Times New Roman" w:hAnsi="宋体"/>
          <w:sz w:val="24"/>
          <w:szCs w:val="24"/>
        </w:rPr>
      </w:pPr>
      <w:r>
        <w:rPr>
          <w:rFonts w:hint="eastAsia" w:ascii="Times New Roman" w:hAnsi="宋体"/>
          <w:sz w:val="24"/>
          <w:szCs w:val="24"/>
        </w:rPr>
        <w:t>（五）相关优惠贸易协定要求交换的其他信息。</w:t>
      </w:r>
    </w:p>
    <w:p>
      <w:pPr>
        <w:spacing w:line="440" w:lineRule="exact"/>
        <w:ind w:firstLine="480" w:firstLineChars="200"/>
        <w:rPr>
          <w:rFonts w:ascii="Times New Roman" w:hAnsi="宋体"/>
          <w:sz w:val="24"/>
          <w:szCs w:val="24"/>
        </w:rPr>
      </w:pPr>
      <w:r>
        <w:rPr>
          <w:rFonts w:hint="eastAsia" w:ascii="Times New Roman" w:hAnsi="宋体"/>
          <w:sz w:val="24"/>
          <w:szCs w:val="24"/>
        </w:rPr>
        <w:t>海关总署依照前款规定与其他缔约方完成信息交换后，主管海关应当通知经核准出口商可以依照本办法第九条、第十条规定开具原产地声明。</w:t>
      </w:r>
    </w:p>
    <w:p>
      <w:pPr>
        <w:spacing w:line="440" w:lineRule="exact"/>
        <w:ind w:firstLine="480" w:firstLineChars="200"/>
        <w:rPr>
          <w:rFonts w:ascii="Times New Roman" w:hAnsi="宋体"/>
          <w:sz w:val="24"/>
          <w:szCs w:val="24"/>
        </w:rPr>
      </w:pPr>
      <w:r>
        <w:rPr>
          <w:rFonts w:hint="eastAsia" w:ascii="Times New Roman" w:hAnsi="宋体"/>
          <w:sz w:val="24"/>
          <w:szCs w:val="24"/>
        </w:rPr>
        <w:t>第九条  经核准出口商为其出口或者生产的货物开具原产地声明前，应当向主管海关提交货物的中英文名称、《商品名称及编码协调制度》6位编码、适用的优惠贸易协定等信息。</w:t>
      </w:r>
    </w:p>
    <w:p>
      <w:pPr>
        <w:spacing w:line="440" w:lineRule="exact"/>
        <w:ind w:firstLine="480" w:firstLineChars="200"/>
        <w:rPr>
          <w:rFonts w:ascii="Times New Roman" w:hAnsi="宋体"/>
          <w:sz w:val="24"/>
          <w:szCs w:val="24"/>
        </w:rPr>
      </w:pPr>
      <w:r>
        <w:rPr>
          <w:rFonts w:hint="eastAsia" w:ascii="Times New Roman" w:hAnsi="宋体"/>
          <w:sz w:val="24"/>
          <w:szCs w:val="24"/>
        </w:rPr>
        <w:t>相关货物的中英文名称、《商品名称及编码协调制度》6位编码、适用的优惠贸易协定与已提交信息相同的，无需重复提交。</w:t>
      </w:r>
    </w:p>
    <w:p>
      <w:pPr>
        <w:spacing w:line="440" w:lineRule="exact"/>
        <w:ind w:firstLine="480" w:firstLineChars="200"/>
        <w:rPr>
          <w:rFonts w:ascii="Times New Roman" w:hAnsi="宋体"/>
          <w:sz w:val="24"/>
          <w:szCs w:val="24"/>
        </w:rPr>
      </w:pPr>
      <w:r>
        <w:rPr>
          <w:rFonts w:hint="eastAsia" w:ascii="Times New Roman" w:hAnsi="宋体"/>
          <w:sz w:val="24"/>
          <w:szCs w:val="24"/>
        </w:rPr>
        <w:t>第十条  经核准出口商应当通过海关经核准出口商管理信息化系统开具原产地声明，并且对其开具的原产地声明的真实性和准确性负责。</w:t>
      </w:r>
    </w:p>
    <w:p>
      <w:pPr>
        <w:spacing w:line="440" w:lineRule="exact"/>
        <w:ind w:firstLine="480" w:firstLineChars="200"/>
        <w:rPr>
          <w:rFonts w:ascii="Times New Roman" w:hAnsi="宋体"/>
          <w:sz w:val="24"/>
          <w:szCs w:val="24"/>
        </w:rPr>
      </w:pPr>
      <w:r>
        <w:rPr>
          <w:rFonts w:hint="eastAsia" w:ascii="Times New Roman" w:hAnsi="宋体"/>
          <w:sz w:val="24"/>
          <w:szCs w:val="24"/>
        </w:rPr>
        <w:t>经核准出口商依据本办法开具的原产地声明可以用于向其他缔约方申请享受相关优惠贸易协定项下优惠待遇。</w:t>
      </w:r>
    </w:p>
    <w:p>
      <w:pPr>
        <w:spacing w:line="440" w:lineRule="exact"/>
        <w:ind w:firstLine="480" w:firstLineChars="200"/>
        <w:rPr>
          <w:rFonts w:ascii="Times New Roman" w:hAnsi="宋体"/>
          <w:sz w:val="24"/>
          <w:szCs w:val="24"/>
        </w:rPr>
      </w:pPr>
      <w:r>
        <w:rPr>
          <w:rFonts w:hint="eastAsia" w:ascii="Times New Roman" w:hAnsi="宋体"/>
          <w:sz w:val="24"/>
          <w:szCs w:val="24"/>
        </w:rPr>
        <w:t>第十一条  经核准出口商应当自原产地声明开具之日起3年内保存能够证明该货物原产资格的全部文件。相关文件可以以电子或者纸质形式保存。</w:t>
      </w:r>
    </w:p>
    <w:p>
      <w:pPr>
        <w:spacing w:line="440" w:lineRule="exact"/>
        <w:ind w:firstLine="480" w:firstLineChars="200"/>
        <w:rPr>
          <w:rFonts w:ascii="Times New Roman" w:hAnsi="宋体"/>
          <w:sz w:val="24"/>
          <w:szCs w:val="24"/>
        </w:rPr>
      </w:pPr>
      <w:r>
        <w:rPr>
          <w:rFonts w:hint="eastAsia" w:ascii="Times New Roman" w:hAnsi="宋体"/>
          <w:sz w:val="24"/>
          <w:szCs w:val="24"/>
        </w:rPr>
        <w:t>经核准出口商不是出口货物生产商的，应当在开具原产地声明前要求生产商提供能够证明货物原产资格的证明文件，并且按照前款要求予以保存。</w:t>
      </w:r>
    </w:p>
    <w:p>
      <w:pPr>
        <w:spacing w:line="440" w:lineRule="exact"/>
        <w:ind w:firstLine="480" w:firstLineChars="200"/>
        <w:rPr>
          <w:rFonts w:ascii="Times New Roman" w:hAnsi="宋体"/>
          <w:sz w:val="24"/>
          <w:szCs w:val="24"/>
        </w:rPr>
      </w:pPr>
      <w:r>
        <w:rPr>
          <w:rFonts w:hint="eastAsia" w:ascii="Times New Roman" w:hAnsi="宋体"/>
          <w:sz w:val="24"/>
          <w:szCs w:val="24"/>
        </w:rPr>
        <w:t>第十二条  海关可以对经核准出口商开具的原产地声明及其相关货物、原产资格文件管理制度及执行情况等实施检查，经核准出口商应当予以配合。</w:t>
      </w:r>
    </w:p>
    <w:p>
      <w:pPr>
        <w:spacing w:line="440" w:lineRule="exact"/>
        <w:ind w:firstLine="480" w:firstLineChars="200"/>
        <w:rPr>
          <w:rFonts w:ascii="Times New Roman" w:hAnsi="宋体"/>
          <w:sz w:val="24"/>
          <w:szCs w:val="24"/>
        </w:rPr>
      </w:pPr>
      <w:r>
        <w:rPr>
          <w:rFonts w:hint="eastAsia" w:ascii="Times New Roman" w:hAnsi="宋体"/>
          <w:sz w:val="24"/>
          <w:szCs w:val="24"/>
        </w:rPr>
        <w:t>其他缔约方主管部门根据相关优惠贸易协定，提出对经核准出口商开具的原产地声明及其相关货物核查请求的，由海关总署统一组织实施。</w:t>
      </w:r>
    </w:p>
    <w:p>
      <w:pPr>
        <w:spacing w:line="440" w:lineRule="exact"/>
        <w:ind w:firstLine="480" w:firstLineChars="200"/>
        <w:rPr>
          <w:rFonts w:ascii="Times New Roman" w:hAnsi="宋体"/>
          <w:sz w:val="24"/>
          <w:szCs w:val="24"/>
        </w:rPr>
      </w:pPr>
      <w:r>
        <w:rPr>
          <w:rFonts w:hint="eastAsia" w:ascii="Times New Roman" w:hAnsi="宋体"/>
          <w:sz w:val="24"/>
          <w:szCs w:val="24"/>
        </w:rPr>
        <w:t>经核准出口商应当将其收到的其他缔约方主管部门有关原产地声明及其相关货物的核查请求转交主管海关。</w:t>
      </w:r>
    </w:p>
    <w:p>
      <w:pPr>
        <w:spacing w:line="440" w:lineRule="exact"/>
        <w:ind w:firstLine="480" w:firstLineChars="200"/>
        <w:rPr>
          <w:rFonts w:ascii="Times New Roman" w:hAnsi="宋体"/>
          <w:sz w:val="24"/>
          <w:szCs w:val="24"/>
        </w:rPr>
      </w:pPr>
      <w:r>
        <w:rPr>
          <w:rFonts w:hint="eastAsia" w:ascii="Times New Roman" w:hAnsi="宋体"/>
          <w:sz w:val="24"/>
          <w:szCs w:val="24"/>
        </w:rPr>
        <w:t>第十三条  经核准出口商信息或者货物信息发生变更的，经核准出口商未进行变更前，不得开具原产地声明。</w:t>
      </w:r>
    </w:p>
    <w:p>
      <w:pPr>
        <w:spacing w:line="440" w:lineRule="exact"/>
        <w:ind w:firstLine="480" w:firstLineChars="200"/>
        <w:rPr>
          <w:rFonts w:ascii="Times New Roman" w:hAnsi="宋体"/>
          <w:sz w:val="24"/>
          <w:szCs w:val="24"/>
        </w:rPr>
      </w:pPr>
      <w:r>
        <w:rPr>
          <w:rFonts w:hint="eastAsia" w:ascii="Times New Roman" w:hAnsi="宋体"/>
          <w:sz w:val="24"/>
          <w:szCs w:val="24"/>
        </w:rPr>
        <w:t>第十四条  存在以下情形的，主管海关可以注销经核准出口商认定，并且书面通知该企业：</w:t>
      </w:r>
    </w:p>
    <w:p>
      <w:pPr>
        <w:spacing w:line="440" w:lineRule="exact"/>
        <w:ind w:firstLine="480" w:firstLineChars="200"/>
        <w:rPr>
          <w:rFonts w:ascii="Times New Roman" w:hAnsi="宋体"/>
          <w:sz w:val="24"/>
          <w:szCs w:val="24"/>
        </w:rPr>
      </w:pPr>
      <w:r>
        <w:rPr>
          <w:rFonts w:hint="eastAsia" w:ascii="Times New Roman" w:hAnsi="宋体"/>
          <w:sz w:val="24"/>
          <w:szCs w:val="24"/>
        </w:rPr>
        <w:t>（一）经核准出口商申请注销的；</w:t>
      </w:r>
    </w:p>
    <w:p>
      <w:pPr>
        <w:spacing w:line="440" w:lineRule="exact"/>
        <w:ind w:firstLine="480" w:firstLineChars="200"/>
        <w:rPr>
          <w:rFonts w:ascii="Times New Roman" w:hAnsi="宋体"/>
          <w:sz w:val="24"/>
          <w:szCs w:val="24"/>
        </w:rPr>
      </w:pPr>
      <w:r>
        <w:rPr>
          <w:rFonts w:hint="eastAsia" w:ascii="Times New Roman" w:hAnsi="宋体"/>
          <w:sz w:val="24"/>
          <w:szCs w:val="24"/>
        </w:rPr>
        <w:t>（二）经核准出口商不再符合海关总署规定的企业信用等级的；</w:t>
      </w:r>
    </w:p>
    <w:p>
      <w:pPr>
        <w:spacing w:line="440" w:lineRule="exact"/>
        <w:ind w:firstLine="480" w:firstLineChars="200"/>
        <w:rPr>
          <w:rFonts w:ascii="Times New Roman" w:hAnsi="宋体"/>
          <w:sz w:val="24"/>
          <w:szCs w:val="24"/>
        </w:rPr>
      </w:pPr>
      <w:r>
        <w:rPr>
          <w:rFonts w:hint="eastAsia" w:ascii="Times New Roman" w:hAnsi="宋体"/>
          <w:sz w:val="24"/>
          <w:szCs w:val="24"/>
        </w:rPr>
        <w:t>（三）经核准出口商有效期届满未向主管海关申请续展的。</w:t>
      </w:r>
    </w:p>
    <w:p>
      <w:pPr>
        <w:spacing w:line="440" w:lineRule="exact"/>
        <w:ind w:firstLine="480" w:firstLineChars="200"/>
        <w:rPr>
          <w:rFonts w:ascii="Times New Roman" w:hAnsi="宋体"/>
          <w:sz w:val="24"/>
          <w:szCs w:val="24"/>
        </w:rPr>
      </w:pPr>
      <w:r>
        <w:rPr>
          <w:rFonts w:hint="eastAsia" w:ascii="Times New Roman" w:hAnsi="宋体"/>
          <w:sz w:val="24"/>
          <w:szCs w:val="24"/>
        </w:rPr>
        <w:t>注销决定自作出之日起生效。</w:t>
      </w:r>
    </w:p>
    <w:p>
      <w:pPr>
        <w:spacing w:line="440" w:lineRule="exact"/>
        <w:ind w:firstLine="480" w:firstLineChars="200"/>
        <w:rPr>
          <w:rFonts w:ascii="Times New Roman" w:hAnsi="宋体"/>
          <w:sz w:val="24"/>
          <w:szCs w:val="24"/>
        </w:rPr>
      </w:pPr>
      <w:r>
        <w:rPr>
          <w:rFonts w:hint="eastAsia" w:ascii="Times New Roman" w:hAnsi="宋体"/>
          <w:sz w:val="24"/>
          <w:szCs w:val="24"/>
        </w:rPr>
        <w:t>第十五条  存在以下情形的，主管海关可以撤销经核准出口商认定，并书面通知该企业：</w:t>
      </w:r>
    </w:p>
    <w:p>
      <w:pPr>
        <w:spacing w:line="440" w:lineRule="exact"/>
        <w:ind w:firstLine="480" w:firstLineChars="200"/>
        <w:rPr>
          <w:rFonts w:ascii="Times New Roman" w:hAnsi="宋体"/>
          <w:sz w:val="24"/>
          <w:szCs w:val="24"/>
        </w:rPr>
      </w:pPr>
      <w:r>
        <w:rPr>
          <w:rFonts w:hint="eastAsia" w:ascii="Times New Roman" w:hAnsi="宋体"/>
          <w:sz w:val="24"/>
          <w:szCs w:val="24"/>
        </w:rPr>
        <w:t>（一）提供虚假材料骗取经核准出口商认定的；</w:t>
      </w:r>
    </w:p>
    <w:p>
      <w:pPr>
        <w:spacing w:line="440" w:lineRule="exact"/>
        <w:ind w:firstLine="480" w:firstLineChars="200"/>
        <w:rPr>
          <w:rFonts w:ascii="Times New Roman" w:hAnsi="宋体"/>
          <w:sz w:val="24"/>
          <w:szCs w:val="24"/>
        </w:rPr>
      </w:pPr>
      <w:r>
        <w:rPr>
          <w:rFonts w:hint="eastAsia" w:ascii="Times New Roman" w:hAnsi="宋体"/>
          <w:sz w:val="24"/>
          <w:szCs w:val="24"/>
        </w:rPr>
        <w:t>（二）存在伪造或者买卖原产地声明行为的；</w:t>
      </w:r>
    </w:p>
    <w:p>
      <w:pPr>
        <w:spacing w:line="440" w:lineRule="exact"/>
        <w:ind w:firstLine="480" w:firstLineChars="200"/>
        <w:rPr>
          <w:rFonts w:ascii="Times New Roman" w:hAnsi="宋体"/>
          <w:sz w:val="24"/>
          <w:szCs w:val="24"/>
        </w:rPr>
      </w:pPr>
      <w:r>
        <w:rPr>
          <w:rFonts w:hint="eastAsia" w:ascii="Times New Roman" w:hAnsi="宋体"/>
          <w:sz w:val="24"/>
          <w:szCs w:val="24"/>
        </w:rPr>
        <w:t>（三）经核准出口商未按照本办法第十二条转交核查请求，情节严重的；</w:t>
      </w:r>
    </w:p>
    <w:p>
      <w:pPr>
        <w:spacing w:line="440" w:lineRule="exact"/>
        <w:ind w:firstLine="480" w:firstLineChars="200"/>
        <w:rPr>
          <w:rFonts w:ascii="Times New Roman" w:hAnsi="宋体"/>
          <w:sz w:val="24"/>
          <w:szCs w:val="24"/>
        </w:rPr>
      </w:pPr>
      <w:r>
        <w:rPr>
          <w:rFonts w:hint="eastAsia" w:ascii="Times New Roman" w:hAnsi="宋体"/>
          <w:sz w:val="24"/>
          <w:szCs w:val="24"/>
        </w:rPr>
        <w:t>（四）经核准出口商开具的原产地声明不符合海关总署规定，1年内累计数量超过上年度开具的原产地声明总数百分之一，并且涉及货物价值累计超过100万元的。</w:t>
      </w:r>
    </w:p>
    <w:p>
      <w:pPr>
        <w:spacing w:line="440" w:lineRule="exact"/>
        <w:ind w:firstLine="480" w:firstLineChars="200"/>
        <w:rPr>
          <w:rFonts w:ascii="Times New Roman" w:hAnsi="宋体"/>
          <w:sz w:val="24"/>
          <w:szCs w:val="24"/>
        </w:rPr>
      </w:pPr>
      <w:r>
        <w:rPr>
          <w:rFonts w:hint="eastAsia" w:ascii="Times New Roman" w:hAnsi="宋体"/>
          <w:sz w:val="24"/>
          <w:szCs w:val="24"/>
        </w:rPr>
        <w:t>撤销决定自作出之日起生效，但依照本条第一款第一项规定撤销经核准出口商认定的，经核准出口商认定自始无效。</w:t>
      </w:r>
    </w:p>
    <w:p>
      <w:pPr>
        <w:spacing w:line="440" w:lineRule="exact"/>
        <w:ind w:firstLine="480" w:firstLineChars="200"/>
        <w:rPr>
          <w:rFonts w:ascii="Times New Roman" w:hAnsi="宋体"/>
          <w:sz w:val="24"/>
          <w:szCs w:val="24"/>
        </w:rPr>
      </w:pPr>
      <w:r>
        <w:rPr>
          <w:rFonts w:hint="eastAsia" w:ascii="Times New Roman" w:hAnsi="宋体"/>
          <w:sz w:val="24"/>
          <w:szCs w:val="24"/>
        </w:rPr>
        <w:t>企业被海关撤销经核准出口商认定的，自被撤销之日起2年内不得提出经核准出口商认定申请。</w:t>
      </w:r>
    </w:p>
    <w:p>
      <w:pPr>
        <w:spacing w:line="440" w:lineRule="exact"/>
        <w:ind w:firstLine="480" w:firstLineChars="200"/>
        <w:rPr>
          <w:rFonts w:ascii="Times New Roman" w:hAnsi="宋体"/>
          <w:sz w:val="24"/>
          <w:szCs w:val="24"/>
        </w:rPr>
      </w:pPr>
      <w:r>
        <w:rPr>
          <w:rFonts w:hint="eastAsia" w:ascii="Times New Roman" w:hAnsi="宋体"/>
          <w:sz w:val="24"/>
          <w:szCs w:val="24"/>
        </w:rPr>
        <w:t>第十六条  提供虚假材料骗取经核准出口商认定，或者伪造、买卖原产地声明的，主管海关应当给予警告，可以并处1万元以下罚款。</w:t>
      </w:r>
    </w:p>
    <w:p>
      <w:pPr>
        <w:spacing w:line="440" w:lineRule="exact"/>
        <w:ind w:firstLine="480" w:firstLineChars="200"/>
        <w:rPr>
          <w:rFonts w:ascii="Times New Roman" w:hAnsi="宋体"/>
          <w:sz w:val="24"/>
          <w:szCs w:val="24"/>
        </w:rPr>
      </w:pPr>
      <w:r>
        <w:rPr>
          <w:rFonts w:hint="eastAsia" w:ascii="Times New Roman" w:hAnsi="宋体"/>
          <w:sz w:val="24"/>
          <w:szCs w:val="24"/>
        </w:rPr>
        <w:t>第十七条  海关依法对经核准出口商实施信用管理。</w:t>
      </w:r>
    </w:p>
    <w:p>
      <w:pPr>
        <w:spacing w:line="440" w:lineRule="exact"/>
        <w:ind w:firstLine="480" w:firstLineChars="200"/>
        <w:rPr>
          <w:rFonts w:ascii="Times New Roman" w:hAnsi="宋体"/>
          <w:sz w:val="24"/>
          <w:szCs w:val="24"/>
        </w:rPr>
      </w:pPr>
      <w:r>
        <w:rPr>
          <w:rFonts w:hint="eastAsia" w:ascii="Times New Roman" w:hAnsi="宋体"/>
          <w:sz w:val="24"/>
          <w:szCs w:val="24"/>
        </w:rPr>
        <w:t>第十八条  海关对中华人民共和国缔结或者参加的其他优惠贸易协定项下经核准出口商的管理，适用本办法。</w:t>
      </w:r>
    </w:p>
    <w:p>
      <w:pPr>
        <w:spacing w:line="440" w:lineRule="exact"/>
        <w:ind w:firstLine="480" w:firstLineChars="200"/>
        <w:rPr>
          <w:rFonts w:ascii="Times New Roman" w:hAnsi="宋体"/>
          <w:sz w:val="24"/>
          <w:szCs w:val="24"/>
        </w:rPr>
      </w:pPr>
      <w:r>
        <w:rPr>
          <w:rFonts w:hint="eastAsia" w:ascii="Times New Roman" w:hAnsi="宋体"/>
          <w:sz w:val="24"/>
          <w:szCs w:val="24"/>
        </w:rPr>
        <w:t>第十九条  本办法由海关总署负责解释。</w:t>
      </w:r>
    </w:p>
    <w:p>
      <w:pPr>
        <w:spacing w:line="440" w:lineRule="exact"/>
        <w:ind w:firstLine="480" w:firstLineChars="200"/>
        <w:rPr>
          <w:rFonts w:ascii="Times New Roman" w:hAnsi="宋体"/>
          <w:sz w:val="24"/>
          <w:szCs w:val="24"/>
        </w:rPr>
      </w:pPr>
      <w:r>
        <w:rPr>
          <w:rFonts w:hint="eastAsia" w:ascii="Times New Roman" w:hAnsi="宋体"/>
          <w:sz w:val="24"/>
          <w:szCs w:val="24"/>
        </w:rPr>
        <w:t>第二十条  本办法自2022年1月1日起施行。</w:t>
      </w:r>
    </w:p>
    <w:p>
      <w:pPr>
        <w:spacing w:line="440" w:lineRule="exact"/>
        <w:ind w:firstLine="480" w:firstLineChars="200"/>
        <w:rPr>
          <w:rFonts w:ascii="Times New Roman" w:hAnsi="宋体"/>
          <w:sz w:val="24"/>
          <w:szCs w:val="24"/>
        </w:r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hint="eastAsia" w:ascii="Times New Roman" w:hAnsi="宋体"/>
          <w:sz w:val="24"/>
          <w:szCs w:val="24"/>
        </w:rPr>
        <w:t>中华人民共和国海关经核准出口商管理办法</w:t>
      </w:r>
      <w:r>
        <w:rPr>
          <w:rFonts w:hint="eastAsia" w:asciiTheme="minorEastAsia" w:hAnsiTheme="minorEastAsia"/>
          <w:sz w:val="24"/>
          <w:szCs w:val="24"/>
        </w:rPr>
        <w:t>》请登录www.customs.gov.cn查询）</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世界经贸</w:t>
      </w:r>
    </w:p>
    <w:p>
      <w:pPr>
        <w:spacing w:line="440" w:lineRule="exact"/>
        <w:jc w:val="left"/>
        <w:sectPr>
          <w:pgSz w:w="11906" w:h="16838"/>
          <w:pgMar w:top="1440" w:right="1800" w:bottom="1440" w:left="1800" w:header="851" w:footer="992" w:gutter="0"/>
          <w:cols w:space="425" w:num="1"/>
          <w:docGrid w:type="lines" w:linePitch="312" w:charSpace="0"/>
        </w:sectPr>
      </w:pPr>
    </w:p>
    <w:p>
      <w:pPr>
        <w:spacing w:line="440" w:lineRule="exact"/>
        <w:jc w:val="left"/>
      </w:pPr>
    </w:p>
    <w:p>
      <w:pPr>
        <w:spacing w:line="440" w:lineRule="exact"/>
        <w:jc w:val="left"/>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ind w:firstLine="200"/>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遇见RCEP，柬埔寨借势腾飞</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柬埔寨是较早完成《区域全面经济伙伴关系协定》（RCEP）国内审批的国家之一。受新冠肺炎疫情影响，柬埔寨经济受到冲击，其2021年的经济增长率为2.4%。而RCEP的正式生效将为柬埔寨经济发展提供更多机遇，促进经济复苏，加强区域互联互通，增强市场潜力和社会经济韧性，为柬埔寨企业进入各成员国市场敞开大门。</w:t>
      </w:r>
    </w:p>
    <w:p>
      <w:pPr>
        <w:spacing w:line="440" w:lineRule="exact"/>
        <w:ind w:firstLine="482" w:firstLineChars="200"/>
        <w:rPr>
          <w:rFonts w:ascii="Times New Roman" w:hAnsi="宋体"/>
          <w:b/>
          <w:sz w:val="24"/>
          <w:szCs w:val="24"/>
        </w:rPr>
      </w:pPr>
      <w:r>
        <w:rPr>
          <w:rFonts w:hint="eastAsia" w:ascii="Times New Roman" w:hAnsi="宋体"/>
          <w:b/>
          <w:sz w:val="24"/>
          <w:szCs w:val="24"/>
        </w:rPr>
        <w:t>出口市场扩大</w:t>
      </w:r>
    </w:p>
    <w:p>
      <w:pPr>
        <w:spacing w:line="440" w:lineRule="exact"/>
        <w:ind w:firstLine="480" w:firstLineChars="200"/>
        <w:rPr>
          <w:rFonts w:ascii="Times New Roman" w:hAnsi="宋体"/>
          <w:sz w:val="24"/>
          <w:szCs w:val="24"/>
        </w:rPr>
      </w:pPr>
      <w:r>
        <w:rPr>
          <w:rFonts w:hint="eastAsia" w:ascii="Times New Roman" w:hAnsi="宋体"/>
          <w:sz w:val="24"/>
          <w:szCs w:val="24"/>
        </w:rPr>
        <w:t>RCEP对于整合区域一体化的贡献之一，在于区域内采取原产地规则，促进亚太区域成为统一市场。未来柬埔寨将面对东盟6.5亿人口、亚太15个国家的大市场，并且将在这些市场享有特殊待遇，这些将有助于柬埔寨打造更好的区域生产链。</w:t>
      </w:r>
    </w:p>
    <w:p>
      <w:pPr>
        <w:spacing w:line="440" w:lineRule="exact"/>
        <w:ind w:firstLine="480" w:firstLineChars="200"/>
        <w:rPr>
          <w:rFonts w:ascii="Times New Roman" w:hAnsi="宋体"/>
          <w:sz w:val="24"/>
          <w:szCs w:val="24"/>
        </w:rPr>
      </w:pPr>
      <w:r>
        <w:rPr>
          <w:rFonts w:hint="eastAsia" w:ascii="Times New Roman" w:hAnsi="宋体"/>
          <w:sz w:val="24"/>
          <w:szCs w:val="24"/>
        </w:rPr>
        <w:t>据柬埔寨政府援引东盟和东亚经济研究院调查，一旦RCEP正式生效，将使柬埔寨国内生产总值（GDP）在现有的7.3%水平上，每年再增长2%；而柬埔寨出口和投资也将增长7.3%和23.4%。</w:t>
      </w:r>
    </w:p>
    <w:p>
      <w:pPr>
        <w:spacing w:line="440" w:lineRule="exact"/>
        <w:ind w:firstLine="482" w:firstLineChars="200"/>
        <w:rPr>
          <w:rFonts w:ascii="Times New Roman" w:hAnsi="宋体"/>
          <w:b/>
          <w:sz w:val="24"/>
          <w:szCs w:val="24"/>
        </w:rPr>
      </w:pPr>
      <w:r>
        <w:rPr>
          <w:rFonts w:hint="eastAsia" w:ascii="Times New Roman" w:hAnsi="宋体"/>
          <w:b/>
          <w:sz w:val="24"/>
          <w:szCs w:val="24"/>
        </w:rPr>
        <w:t>对外引资增多</w:t>
      </w:r>
    </w:p>
    <w:p>
      <w:pPr>
        <w:spacing w:line="440" w:lineRule="exact"/>
        <w:ind w:firstLine="480" w:firstLineChars="200"/>
        <w:rPr>
          <w:rFonts w:ascii="Times New Roman" w:hAnsi="宋体"/>
          <w:sz w:val="24"/>
          <w:szCs w:val="24"/>
        </w:rPr>
      </w:pPr>
      <w:r>
        <w:rPr>
          <w:rFonts w:hint="eastAsia" w:ascii="Times New Roman" w:hAnsi="宋体"/>
          <w:sz w:val="24"/>
          <w:szCs w:val="24"/>
        </w:rPr>
        <w:t>在投资领域，RCEP的签订为各成员国带来更多投资便利，将形成区域性的投资高潮。</w:t>
      </w:r>
    </w:p>
    <w:p>
      <w:pPr>
        <w:spacing w:line="440" w:lineRule="exact"/>
        <w:ind w:firstLine="480" w:firstLineChars="200"/>
        <w:rPr>
          <w:rFonts w:ascii="Times New Roman" w:hAnsi="宋体"/>
          <w:sz w:val="24"/>
          <w:szCs w:val="24"/>
        </w:rPr>
      </w:pPr>
      <w:r>
        <w:rPr>
          <w:rFonts w:hint="eastAsia" w:ascii="Times New Roman" w:hAnsi="宋体"/>
          <w:sz w:val="24"/>
          <w:szCs w:val="24"/>
        </w:rPr>
        <w:t>根据柬埔寨国家银行发布的数据，2021年上半年，流入柬埔寨的外来直接投资达390亿美元，同比增长9.6%。投资制造业的外来直接投资占20.8%。这也扭转了流入柬埔寨的外来直接投资因新冠肺炎疫情冲击而下降的趋势。2020年，柬埔寨吸引的外来直接投资320亿美元，较2019年下降了12.5%。数据显示，中国位居柬埔寨十大外资来源国之首，2021年上半年流入柬埔寨的中国外资达173亿美元，占总数的44.2%。其次为韩国（41亿美元）、越南（25亿美元）、新加坡（24亿美元）、日本（23亿美元）、马来西亚（18亿美元）、泰国（18亿美元）、英国（13亿美元）、加拿大（10亿美元）和美国（8亿美元）。值得关注的是，柬埔寨十大外资来源国中，RCEP成员国达7个。</w:t>
      </w:r>
    </w:p>
    <w:p>
      <w:pPr>
        <w:spacing w:line="440" w:lineRule="exact"/>
        <w:ind w:firstLine="480" w:firstLineChars="200"/>
        <w:rPr>
          <w:rFonts w:ascii="Times New Roman" w:hAnsi="宋体"/>
          <w:sz w:val="24"/>
          <w:szCs w:val="24"/>
        </w:rPr>
      </w:pPr>
      <w:r>
        <w:rPr>
          <w:rFonts w:hint="eastAsia" w:ascii="Times New Roman" w:hAnsi="宋体"/>
          <w:sz w:val="24"/>
          <w:szCs w:val="24"/>
        </w:rPr>
        <w:t>柬埔寨新的《投资法》已经于10月15日正式生效实行，将通过透明化法律框架保障国内外投资，以鼓励投资和实现工业多元化发展目标，估计将能吸引更多外来直接投资流入柬埔寨。</w:t>
      </w:r>
    </w:p>
    <w:p>
      <w:pPr>
        <w:spacing w:line="440" w:lineRule="exact"/>
        <w:ind w:firstLine="482" w:firstLineChars="200"/>
        <w:rPr>
          <w:rFonts w:ascii="Times New Roman" w:hAnsi="宋体"/>
          <w:b/>
          <w:sz w:val="24"/>
          <w:szCs w:val="24"/>
        </w:rPr>
      </w:pPr>
      <w:r>
        <w:rPr>
          <w:rFonts w:hint="eastAsia" w:ascii="Times New Roman" w:hAnsi="宋体"/>
          <w:b/>
          <w:sz w:val="24"/>
          <w:szCs w:val="24"/>
        </w:rPr>
        <w:t>国际合作加强</w:t>
      </w:r>
    </w:p>
    <w:p>
      <w:pPr>
        <w:spacing w:line="440" w:lineRule="exact"/>
        <w:ind w:firstLine="480" w:firstLineChars="200"/>
        <w:rPr>
          <w:rFonts w:ascii="Times New Roman" w:hAnsi="宋体"/>
          <w:sz w:val="24"/>
          <w:szCs w:val="24"/>
        </w:rPr>
      </w:pPr>
      <w:r>
        <w:rPr>
          <w:rFonts w:hint="eastAsia" w:ascii="Times New Roman" w:hAnsi="宋体"/>
          <w:sz w:val="24"/>
          <w:szCs w:val="24"/>
        </w:rPr>
        <w:t>为促进经济尽快复苏，柬埔寨政府加快对外自贸协定谈判进度。11月24日，在首届亚欧经济和商业论坛上，柬埔寨首相洪森表示，柬埔寨签署的自贸协定，包括RCEP、《柬埔寨和中国自由贸易协定》、《柬埔寨和韩国自由贸易协定》，为柬开拓了更广泛的出口市场。这些积极举措使柬埔寨成为区域内一个更重要和更有潜力的生产、商业和投资中心。</w:t>
      </w:r>
    </w:p>
    <w:p>
      <w:pPr>
        <w:spacing w:line="440" w:lineRule="exact"/>
        <w:ind w:firstLine="480" w:firstLineChars="200"/>
        <w:rPr>
          <w:rFonts w:ascii="Times New Roman" w:hAnsi="宋体"/>
          <w:sz w:val="24"/>
          <w:szCs w:val="24"/>
        </w:rPr>
      </w:pPr>
      <w:r>
        <w:rPr>
          <w:rFonts w:hint="eastAsia" w:ascii="Times New Roman" w:hAnsi="宋体"/>
          <w:sz w:val="24"/>
          <w:szCs w:val="24"/>
        </w:rPr>
        <w:t>2020年10月12日，中柬自贸协定正式签署，并将于2022年1月1日正式生效实施。根据协定安排，双方货物贸易零关税产品税目比例均达到90%以上，服务贸易市场开放承诺也体现了各自给予自贸伙伴的最高水平。</w:t>
      </w:r>
    </w:p>
    <w:p>
      <w:pPr>
        <w:spacing w:line="440" w:lineRule="exact"/>
        <w:ind w:firstLine="480" w:firstLineChars="200"/>
        <w:rPr>
          <w:rFonts w:ascii="Times New Roman" w:hAnsi="宋体"/>
          <w:sz w:val="24"/>
          <w:szCs w:val="24"/>
        </w:rPr>
      </w:pPr>
      <w:r>
        <w:rPr>
          <w:rFonts w:hint="eastAsia" w:ascii="Times New Roman" w:hAnsi="宋体"/>
          <w:sz w:val="24"/>
          <w:szCs w:val="24"/>
        </w:rPr>
        <w:t>2021年10月26日，柬韩自贸协定正式签署。柬韩自贸协定将于双方通过外交方式通报完成内部批准程序后60天正式生效，届时韩国将成为第二个同柬埔寨签署自贸协定的国家。通过自贸协定，双方同意取消韩国95.6%的关税和柬埔寨93.8%的关税，以实现高度开放。通过签署柬韩自贸协定，将进一步促进柬埔寨许多产品，包括服装、纺织品、电器、农产品等对韩国的出口。</w:t>
      </w:r>
    </w:p>
    <w:p>
      <w:pPr>
        <w:spacing w:line="440" w:lineRule="exact"/>
        <w:ind w:firstLine="480" w:firstLineChars="200"/>
        <w:rPr>
          <w:rFonts w:ascii="Times New Roman" w:hAnsi="宋体"/>
          <w:sz w:val="24"/>
          <w:szCs w:val="24"/>
        </w:rPr>
      </w:pPr>
      <w:r>
        <w:rPr>
          <w:rFonts w:hint="eastAsia" w:ascii="Times New Roman" w:hAnsi="宋体"/>
          <w:sz w:val="24"/>
          <w:szCs w:val="24"/>
        </w:rPr>
        <w:t>柬埔寨还计划研究与日本等国签订双边自贸协定的可行性，并计划与澳大利亚、新西兰、俄罗斯、美国、加拿大和英国等多个国家进行自贸谈判。</w:t>
      </w:r>
    </w:p>
    <w:p>
      <w:pPr>
        <w:spacing w:line="440" w:lineRule="exact"/>
        <w:ind w:firstLine="482" w:firstLineChars="200"/>
        <w:rPr>
          <w:rFonts w:ascii="Times New Roman" w:hAnsi="宋体"/>
          <w:b/>
          <w:sz w:val="24"/>
          <w:szCs w:val="24"/>
        </w:rPr>
      </w:pPr>
      <w:r>
        <w:rPr>
          <w:rFonts w:hint="eastAsia" w:ascii="Times New Roman" w:hAnsi="宋体"/>
          <w:b/>
          <w:sz w:val="24"/>
          <w:szCs w:val="24"/>
        </w:rPr>
        <w:t>人员流动恢复</w:t>
      </w:r>
    </w:p>
    <w:p>
      <w:pPr>
        <w:spacing w:line="440" w:lineRule="exact"/>
        <w:ind w:firstLine="480" w:firstLineChars="200"/>
        <w:rPr>
          <w:rFonts w:ascii="Times New Roman" w:hAnsi="宋体"/>
          <w:sz w:val="24"/>
          <w:szCs w:val="24"/>
        </w:rPr>
      </w:pPr>
      <w:r>
        <w:rPr>
          <w:rFonts w:hint="eastAsia" w:ascii="Times New Roman" w:hAnsi="宋体"/>
          <w:sz w:val="24"/>
          <w:szCs w:val="24"/>
        </w:rPr>
        <w:t>目前，柬埔寨疫情得到较好控制，疫苗接种率较高。柬埔寨5岁以上人群新冠疫苗接种率高达88%。柬埔寨政府自11月1日起，宣布重开国门、全面恢复各领域活动，出入境航班也正在恢复当中。</w:t>
      </w:r>
    </w:p>
    <w:p>
      <w:pPr>
        <w:spacing w:line="440" w:lineRule="exact"/>
        <w:ind w:firstLine="480" w:firstLineChars="200"/>
        <w:rPr>
          <w:rFonts w:ascii="Times New Roman" w:hAnsi="宋体"/>
          <w:sz w:val="24"/>
          <w:szCs w:val="24"/>
        </w:rPr>
      </w:pPr>
      <w:r>
        <w:rPr>
          <w:rFonts w:hint="eastAsia" w:ascii="Times New Roman" w:hAnsi="宋体"/>
          <w:sz w:val="24"/>
          <w:szCs w:val="24"/>
        </w:rPr>
        <w:t>柬埔寨移民总局最新统计，新入境政策实施后，11月有超过1.21万人次旅客通过陆路和航空入境柬埔寨。</w:t>
      </w:r>
    </w:p>
    <w:p>
      <w:pPr>
        <w:spacing w:line="440" w:lineRule="exact"/>
        <w:ind w:firstLine="480" w:firstLineChars="200"/>
        <w:rPr>
          <w:rFonts w:ascii="Times New Roman" w:hAnsi="宋体"/>
          <w:sz w:val="24"/>
          <w:szCs w:val="24"/>
        </w:rPr>
      </w:pPr>
      <w:r>
        <w:rPr>
          <w:rFonts w:hint="eastAsia" w:ascii="Times New Roman" w:hAnsi="宋体"/>
          <w:sz w:val="24"/>
          <w:szCs w:val="24"/>
        </w:rPr>
        <w:t>目前，柬埔寨正积极推动与东盟、日本等地航线复航，还将与阿联酋航空公司、卡塔尔航空公司和阿提哈德航空公司等中东国家的航空公司建立合作，启动飞往柬埔寨的国际航班。目前，柬埔寨旅游部正在与中国协商放宽出入境政策。</w:t>
      </w:r>
    </w:p>
    <w:p>
      <w:pPr>
        <w:spacing w:line="440" w:lineRule="exact"/>
        <w:ind w:firstLine="480" w:firstLineChars="200"/>
        <w:rPr>
          <w:rFonts w:ascii="Times New Roman" w:hAnsi="宋体"/>
          <w:sz w:val="24"/>
          <w:szCs w:val="24"/>
        </w:rPr>
      </w:pPr>
      <w:r>
        <w:rPr>
          <w:rFonts w:hint="eastAsia" w:ascii="Times New Roman" w:hAnsi="宋体"/>
          <w:sz w:val="24"/>
          <w:szCs w:val="24"/>
        </w:rPr>
        <w:t>柬埔寨政府宣布重新开放国门后，国际游客人数逐步增加，该国旅游部预计国际游客将在2025年达到700万人次。</w:t>
      </w:r>
    </w:p>
    <w:p>
      <w:pPr>
        <w:spacing w:line="440" w:lineRule="exact"/>
        <w:ind w:firstLine="482" w:firstLineChars="200"/>
        <w:rPr>
          <w:rFonts w:ascii="Times New Roman" w:hAnsi="宋体"/>
          <w:b/>
          <w:sz w:val="24"/>
          <w:szCs w:val="24"/>
        </w:rPr>
      </w:pPr>
      <w:r>
        <w:rPr>
          <w:rFonts w:hint="eastAsia" w:ascii="Times New Roman" w:hAnsi="宋体"/>
          <w:b/>
          <w:sz w:val="24"/>
          <w:szCs w:val="24"/>
        </w:rPr>
        <w:t>中柬经贸互利</w:t>
      </w:r>
    </w:p>
    <w:p>
      <w:pPr>
        <w:spacing w:line="440" w:lineRule="exact"/>
        <w:ind w:firstLine="480" w:firstLineChars="200"/>
        <w:rPr>
          <w:rFonts w:ascii="Times New Roman" w:hAnsi="宋体"/>
          <w:sz w:val="24"/>
          <w:szCs w:val="24"/>
        </w:rPr>
      </w:pPr>
      <w:r>
        <w:rPr>
          <w:rFonts w:hint="eastAsia" w:ascii="Times New Roman" w:hAnsi="宋体"/>
          <w:sz w:val="24"/>
          <w:szCs w:val="24"/>
        </w:rPr>
        <w:t>尽管新冠肺炎疫情冲击全球经济，但是中柬经贸合作在疫情期间逆势上扬，今年两国贸易额将突破百亿美元大关。中国是柬埔寨第一大投资来源国和贸易伙伴，已累计在柬投资数百亿美元，涉及旅游、农业、工业、银行、基础设施。两国经贸合作的韧性和潜力在疫情之下进一步凸显。</w:t>
      </w:r>
    </w:p>
    <w:p>
      <w:pPr>
        <w:spacing w:line="440" w:lineRule="exact"/>
        <w:ind w:firstLine="480" w:firstLineChars="200"/>
        <w:rPr>
          <w:rFonts w:ascii="Times New Roman" w:hAnsi="宋体"/>
          <w:sz w:val="24"/>
          <w:szCs w:val="24"/>
        </w:rPr>
      </w:pPr>
      <w:r>
        <w:rPr>
          <w:rFonts w:hint="eastAsia" w:ascii="Times New Roman" w:hAnsi="宋体"/>
          <w:sz w:val="24"/>
          <w:szCs w:val="24"/>
        </w:rPr>
        <w:t>中柬经贸合作不断加深。柬埔寨的龙眼有望在下个收获季直接出口中国市场，巴沙鱼则有望在较短时间内端上中国人的餐桌。另外，中柬相关机构正在对接，明年柬埔寨民众有望用上本地生产的新冠疫苗。</w:t>
      </w:r>
    </w:p>
    <w:p>
      <w:pPr>
        <w:spacing w:line="440" w:lineRule="exact"/>
        <w:ind w:firstLine="480" w:firstLineChars="200"/>
        <w:rPr>
          <w:rFonts w:ascii="Times New Roman" w:hAnsi="宋体"/>
          <w:sz w:val="24"/>
          <w:szCs w:val="24"/>
        </w:rPr>
      </w:pPr>
      <w:r>
        <w:rPr>
          <w:rFonts w:hint="eastAsia" w:ascii="Times New Roman" w:hAnsi="宋体"/>
          <w:sz w:val="24"/>
          <w:szCs w:val="24"/>
        </w:rPr>
        <w:t>柬埔寨的西哈努克港经济特区（西港特区）是中柬两国企业共同开发的“明星项目”，也是柬埔寨最重要的港口与对外贸易中心。2021年1至8月，西港特区的进出口额达14亿美元。据了解，西港特区已为迎接RCEP带来的各国投资者做好准备，包括设立两所大学，为园区培养技能型人才。（国际商报12-10）</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疫情有缓，越南经济再向蓬勃</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越南统计总局发布的最新数据显示，越南11月份出口同比增长18.5%，进口增长20.8%。快速增长的进出口数据表明，在严厉的防疫限制措施有所放松之下，11月外贸出现了强劲复苏的势头。今年10月初开始解除部分针对新冠肺炎疫情防控的限制措施后，越南南部的许多工厂一直在努力吸引那些在疫情期间返乡的工人重回装配线，政府方面也正在想办法说服大批返乡的打工者回到制造业基地。</w:t>
      </w:r>
    </w:p>
    <w:p>
      <w:pPr>
        <w:spacing w:line="440" w:lineRule="exact"/>
        <w:ind w:firstLine="480" w:firstLineChars="200"/>
        <w:rPr>
          <w:rFonts w:ascii="Times New Roman" w:hAnsi="宋体"/>
          <w:sz w:val="24"/>
          <w:szCs w:val="24"/>
        </w:rPr>
      </w:pPr>
      <w:r>
        <w:rPr>
          <w:rFonts w:hint="eastAsia" w:ascii="Times New Roman" w:hAnsi="宋体"/>
          <w:sz w:val="24"/>
          <w:szCs w:val="24"/>
        </w:rPr>
        <w:t>11月28日，中国上市公司领益智造表示，其在越南的工厂已恢复正常的生产运营，目前海外疫情的影响整体可控，领益智造将持续关注并积极采取措施应对可能的变化。另一家中国上市公司海能实业11月29日也表示，其越南工厂处于正常生产状态，公司生产的产品为ODM定制化产品，在原材料价格波动和人工费上涨时会与客户协商调整价格。</w:t>
      </w:r>
    </w:p>
    <w:p>
      <w:pPr>
        <w:spacing w:line="440" w:lineRule="exact"/>
        <w:ind w:firstLine="480" w:firstLineChars="200"/>
        <w:rPr>
          <w:rFonts w:ascii="Times New Roman" w:hAnsi="宋体"/>
          <w:sz w:val="24"/>
          <w:szCs w:val="24"/>
        </w:rPr>
      </w:pPr>
      <w:r>
        <w:rPr>
          <w:rFonts w:hint="eastAsia" w:ascii="Times New Roman" w:hAnsi="宋体"/>
          <w:sz w:val="24"/>
          <w:szCs w:val="24"/>
        </w:rPr>
        <w:t>越南经济快速恢复的一个主要表现是同美国的双边贸易增长较快。数据显示，今年1至11月，美国是越南最大的出口市场。今年前11个月，越南对美国出口848亿美元，同比增长22.2%；同期，越南从美国进口142亿美元，同比增长14.6%；双边贸易为990亿美元，对美国贸易顺差706亿美元。越南和美国不仅互为最大农产品出口市场，而且目前越南是美国第十大贸易伙伴，过去五年对美出口增长了230%。同时，美国也是越南最大的贸易伙伴，其出口在过去五年也增长了175%以上。</w:t>
      </w:r>
    </w:p>
    <w:p>
      <w:pPr>
        <w:spacing w:line="440" w:lineRule="exact"/>
        <w:ind w:firstLine="480" w:firstLineChars="200"/>
        <w:rPr>
          <w:rFonts w:ascii="Times New Roman" w:hAnsi="宋体"/>
          <w:sz w:val="24"/>
          <w:szCs w:val="24"/>
        </w:rPr>
      </w:pPr>
      <w:r>
        <w:rPr>
          <w:rFonts w:hint="eastAsia" w:ascii="Times New Roman" w:hAnsi="宋体"/>
          <w:sz w:val="24"/>
          <w:szCs w:val="24"/>
        </w:rPr>
        <w:t>此外，大力吸引外资也是助力越南经济复苏的重要动因。截至11月20日，越南的FDI（外商直接投资，含外商新增注册资本、增资、并购）总额已达到264.6亿美元，超过去年全年总额。其中，新注册项目1577个，总资本近141亿美元，同比增长3.76%。增资及参股项目877个，比2020年同期增长26.7%，增加了80亿美元。其中，加工制造业投资项目继续领跑，总投资超过140亿美元，占外资总额的53%。外国投资者对越南21个国民经济行业中的18个行业进行了投资，领先的是加工制造业。比如光伏龙头企业之一的中国晶科能源公司，今年9月投资5亿美元在越南建7吉瓦的单晶硅硅料和硅片厂，为其在美国和马来西亚的电池和组件工厂供货。</w:t>
      </w:r>
    </w:p>
    <w:p>
      <w:pPr>
        <w:spacing w:line="440" w:lineRule="exact"/>
        <w:ind w:firstLine="480" w:firstLineChars="200"/>
        <w:rPr>
          <w:rFonts w:ascii="Times New Roman" w:hAnsi="宋体"/>
          <w:sz w:val="24"/>
          <w:szCs w:val="24"/>
        </w:rPr>
      </w:pPr>
      <w:r>
        <w:rPr>
          <w:rFonts w:hint="eastAsia" w:ascii="Times New Roman" w:hAnsi="宋体"/>
          <w:sz w:val="24"/>
          <w:szCs w:val="24"/>
        </w:rPr>
        <w:t>对于发展中国家来说，外国投资对于经济增长和国际经济一体化尤为重要，因为这是补充资本和技术，增强管理能力、商业能力、组织能力并助力一国参与全球供应链的重要外力。越南凭借较低的劳动力成本、灵活的制造能力和日益扩大的市场，成为了外国投资者青睐的又一个新兴生产制造基地。</w:t>
      </w:r>
    </w:p>
    <w:p>
      <w:pPr>
        <w:spacing w:line="440" w:lineRule="exact"/>
        <w:ind w:firstLine="480" w:firstLineChars="200"/>
        <w:rPr>
          <w:rFonts w:ascii="Times New Roman" w:hAnsi="宋体"/>
          <w:sz w:val="24"/>
          <w:szCs w:val="24"/>
        </w:rPr>
      </w:pPr>
      <w:r>
        <w:rPr>
          <w:rFonts w:hint="eastAsia" w:ascii="Times New Roman" w:hAnsi="宋体"/>
          <w:sz w:val="24"/>
          <w:szCs w:val="24"/>
        </w:rPr>
        <w:t>再有，越南营商环境在不断改善中。越南欧洲商会11月称，第三季度欧洲商会营商环境指数（BCI）小幅上升至18.3个百分点，与前一季度相比上升3个百分点，显示市场对越南经济前景积极乐观信心在上升。尽管该指数仍处于低位，但这一增长令人鼓舞。BCI注意到越南经济前景有所改善。有近半(49%)的商界领导和投资者预计下一季度经济前景将稳定并改善，而前一季度持这个观点的领导和投资者还不足五分之一(19%)。越南欧洲商会主席艾伦·坎尼表示，尽管BCI仍处于低水平，但最重要的是该指数目前正朝着积极的方向发展。随着越南疫情现基本得到控制，随着公司恢复正常运营和消费者信心增强，欧洲商界领导对越南经济的发展前景会越来越持以肯定态度。</w:t>
      </w:r>
    </w:p>
    <w:p>
      <w:pPr>
        <w:spacing w:line="440" w:lineRule="exact"/>
        <w:ind w:firstLine="480" w:firstLineChars="200"/>
        <w:rPr>
          <w:rFonts w:ascii="Times New Roman" w:hAnsi="宋体"/>
          <w:sz w:val="24"/>
          <w:szCs w:val="24"/>
        </w:rPr>
      </w:pPr>
      <w:r>
        <w:rPr>
          <w:rFonts w:hint="eastAsia" w:ascii="Times New Roman" w:hAnsi="宋体"/>
          <w:sz w:val="24"/>
          <w:szCs w:val="24"/>
        </w:rPr>
        <w:t>值得强调的是，加入多双边贸易协定对越南经济发展很有帮助作用。对此，越南经济专家、越南统计总局原局长阮碧林认为，在吸引外资方面，越南的优势在于稳定的宏观环境、经济活跃、政治稳定，招商引资政策和经商环境不断改善等；此外，越南加入了多项大型的多边和双边贸易协定，如《全面与进步跨太平洋伙伴关系协定》(CPTPP)、《越南与欧盟自由贸易协定》（EVFTA），与美国、韩国、日本、英国等国的双边贸易协定等。这是越南在引进外资方面具有竞争性的优势所在。</w:t>
      </w:r>
    </w:p>
    <w:p>
      <w:pPr>
        <w:spacing w:line="440" w:lineRule="exact"/>
        <w:ind w:firstLine="480" w:firstLineChars="200"/>
        <w:rPr>
          <w:rFonts w:ascii="Times New Roman" w:hAnsi="宋体"/>
          <w:sz w:val="24"/>
          <w:szCs w:val="24"/>
        </w:rPr>
      </w:pPr>
      <w:r>
        <w:rPr>
          <w:rFonts w:hint="eastAsia" w:ascii="Times New Roman" w:hAnsi="宋体"/>
          <w:sz w:val="24"/>
          <w:szCs w:val="24"/>
        </w:rPr>
        <w:t>不过，越南工商会（VCCI）日前公布的一项调查显示，2020年越南工商会通过对1万多家企业进行调查发现，企业在办理行政手续方面仍遇到不少困难。就建筑领域而言，一半受访企业表示遇到土地、征地拆迁方面的障碍；48%的企业遇到建设规划方面障碍；40%的企业遇到审批方面障碍。</w:t>
      </w:r>
    </w:p>
    <w:p>
      <w:pPr>
        <w:spacing w:line="440" w:lineRule="exact"/>
        <w:ind w:firstLine="480" w:firstLineChars="200"/>
        <w:rPr>
          <w:rFonts w:ascii="Times New Roman" w:hAnsi="宋体"/>
          <w:sz w:val="24"/>
          <w:szCs w:val="24"/>
        </w:rPr>
      </w:pPr>
      <w:r>
        <w:rPr>
          <w:rFonts w:hint="eastAsia" w:ascii="Times New Roman" w:hAnsi="宋体"/>
          <w:sz w:val="24"/>
          <w:szCs w:val="24"/>
        </w:rPr>
        <w:t>世界银行驻越南代表处发布的《2021年11月份越南宏观经济更新报告》指出，今后越南经济将继续向好，增长将会加快。世界银行专家认为，胡志明市和其他南方省份10月份逐步解除新冠肺炎疫情防控限制之后，经济活动已恢复，尤其是杂货店、超市和药店恢复到接近新冠肺炎疫情大流行之前的水平。越南虽然在长期实施社交距离措施之后在重启经济过程中正在面临诸多障碍，但10月份观察到的积极信号表明，未来几个月经济形势将持续改善，增长将会加速。（国际商报12-02）</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jc w:val="center"/>
        <w:rPr>
          <w:rFonts w:ascii="楷体_GB2312" w:hAnsi="宋体" w:eastAsia="楷体_GB2312"/>
          <w:b/>
          <w:bCs/>
          <w:sz w:val="36"/>
          <w:szCs w:val="36"/>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RCEP落定，新西兰发展尽享“东风”</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11月2日，新西兰政府宣布完成《区域全面经济伙伴关系协定》（RCEP）的核准。新西兰贸易部长特怀福德表示，新西兰批准RCEP意味着将进一步加速新西兰的经济复苏。新西兰是推崇自由贸易的国家，随着东亚经济一体化合作的深入，将进一步提升新西兰的贸易自由度和便利度，进一步改善投资环境和营商环境。</w:t>
      </w:r>
    </w:p>
    <w:p>
      <w:pPr>
        <w:spacing w:line="440" w:lineRule="exact"/>
        <w:ind w:firstLine="482" w:firstLineChars="200"/>
        <w:rPr>
          <w:rFonts w:ascii="Times New Roman" w:hAnsi="宋体"/>
          <w:b/>
          <w:sz w:val="24"/>
          <w:szCs w:val="24"/>
        </w:rPr>
      </w:pPr>
      <w:r>
        <w:rPr>
          <w:rFonts w:hint="eastAsia" w:ascii="Times New Roman" w:hAnsi="宋体"/>
          <w:b/>
          <w:sz w:val="24"/>
          <w:szCs w:val="24"/>
        </w:rPr>
        <w:t>收获更多经济利益</w:t>
      </w:r>
    </w:p>
    <w:p>
      <w:pPr>
        <w:spacing w:line="440" w:lineRule="exact"/>
        <w:ind w:firstLine="480" w:firstLineChars="200"/>
        <w:rPr>
          <w:rFonts w:ascii="Times New Roman" w:hAnsi="宋体"/>
          <w:sz w:val="24"/>
          <w:szCs w:val="24"/>
        </w:rPr>
      </w:pPr>
      <w:r>
        <w:rPr>
          <w:rFonts w:hint="eastAsia" w:ascii="Times New Roman" w:hAnsi="宋体"/>
          <w:sz w:val="24"/>
          <w:szCs w:val="24"/>
        </w:rPr>
        <w:t>新西兰的出口商和企业将因RCEP的正式生效获得巨大的经济利益和新的市场准入机会。在特怀福德看来，全球经济充满不确定的时期，RCEP将为新西兰出口商提供更多确定性，帮助新西兰在一个为本地区作出经济决定的会议桌上拥有一个有影响力的席位。</w:t>
      </w:r>
    </w:p>
    <w:p>
      <w:pPr>
        <w:spacing w:line="440" w:lineRule="exact"/>
        <w:ind w:firstLine="480" w:firstLineChars="200"/>
        <w:rPr>
          <w:rFonts w:ascii="Times New Roman" w:hAnsi="宋体"/>
          <w:sz w:val="24"/>
          <w:szCs w:val="24"/>
        </w:rPr>
      </w:pPr>
      <w:r>
        <w:rPr>
          <w:rFonts w:hint="eastAsia" w:ascii="Times New Roman" w:hAnsi="宋体"/>
          <w:sz w:val="24"/>
          <w:szCs w:val="24"/>
        </w:rPr>
        <w:t>有数据预测，借助RCEP，新西兰的年度国内生产总值（GDP）将在未来20年内增加0.3%至0.6%，相当于15亿至32亿新西兰元。</w:t>
      </w:r>
    </w:p>
    <w:p>
      <w:pPr>
        <w:spacing w:line="440" w:lineRule="exact"/>
        <w:ind w:firstLine="480" w:firstLineChars="200"/>
        <w:rPr>
          <w:rFonts w:ascii="Times New Roman" w:hAnsi="宋体"/>
          <w:sz w:val="24"/>
          <w:szCs w:val="24"/>
        </w:rPr>
      </w:pPr>
      <w:r>
        <w:rPr>
          <w:rFonts w:hint="eastAsia" w:ascii="Times New Roman" w:hAnsi="宋体"/>
          <w:sz w:val="24"/>
          <w:szCs w:val="24"/>
        </w:rPr>
        <w:t>同时，加入RCEP也使新西兰的贸易更加便利化。今年以来，不少中国消费者发现，来自新西兰的产品价格降低了，清关时间也缩短到一周左右。顺丰还开通了新西兰的业务，往来邮寄物品更加便捷。记者在国际快递物流网上看到，顺丰到新西兰的国际特惠包裹最新报价为每公斤275元，时效为8个工作日。消费者得到实惠，商家的生意更好做，各国之间商务合作的机会自然更多。</w:t>
      </w:r>
    </w:p>
    <w:p>
      <w:pPr>
        <w:spacing w:line="440" w:lineRule="exact"/>
        <w:ind w:firstLine="480" w:firstLineChars="200"/>
        <w:rPr>
          <w:rFonts w:ascii="Times New Roman" w:hAnsi="宋体"/>
          <w:sz w:val="24"/>
          <w:szCs w:val="24"/>
        </w:rPr>
      </w:pPr>
      <w:r>
        <w:rPr>
          <w:rFonts w:hint="eastAsia" w:ascii="Times New Roman" w:hAnsi="宋体"/>
          <w:sz w:val="24"/>
          <w:szCs w:val="24"/>
        </w:rPr>
        <w:t>联合国贸发会议研究报告表明，到2025年，RCEP将会给15个成员国出口带来10%以上增长。有研究结果显示，到2030年，RCEP成员国国民收入合计将增长1860亿美元，年出口总额预计额外增长5190亿美元。</w:t>
      </w:r>
    </w:p>
    <w:p>
      <w:pPr>
        <w:spacing w:line="440" w:lineRule="exact"/>
        <w:ind w:firstLine="482" w:firstLineChars="200"/>
        <w:rPr>
          <w:rFonts w:ascii="Times New Roman" w:hAnsi="宋体"/>
          <w:b/>
          <w:sz w:val="24"/>
          <w:szCs w:val="24"/>
        </w:rPr>
      </w:pPr>
      <w:r>
        <w:rPr>
          <w:rFonts w:hint="eastAsia" w:ascii="Times New Roman" w:hAnsi="宋体"/>
          <w:b/>
          <w:sz w:val="24"/>
          <w:szCs w:val="24"/>
        </w:rPr>
        <w:t>中新贸易逆势增长</w:t>
      </w:r>
    </w:p>
    <w:p>
      <w:pPr>
        <w:spacing w:line="440" w:lineRule="exact"/>
        <w:ind w:firstLine="480" w:firstLineChars="200"/>
        <w:rPr>
          <w:rFonts w:ascii="Times New Roman" w:hAnsi="宋体"/>
          <w:sz w:val="24"/>
          <w:szCs w:val="24"/>
        </w:rPr>
      </w:pPr>
      <w:r>
        <w:rPr>
          <w:rFonts w:hint="eastAsia" w:ascii="Times New Roman" w:hAnsi="宋体"/>
          <w:sz w:val="24"/>
          <w:szCs w:val="24"/>
        </w:rPr>
        <w:t>中国已连续多年成为新西兰第一大贸易伙伴和第二大外资来源国。近期，新西兰国家统计局公布的贸易数据显示，截至2021年10月的一年内，新西兰货物贸易出口同比增长3.3%，至621亿新西兰元；进口同比增长16%，至670亿新西兰元。中国仍是新西兰最大出口目的地和进口来源国，该统计年度新西兰对中国出口197.2亿新西兰元，同比增长18.9%；自中国进口157.7亿新西兰元，同比增长24.5%。</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疫情之下贸易实现逆势增长，与近些年来两国经贸合作的不断加深密不可分。2021年1月26日，中国与新西兰自贸协定再升级。中新自贸协定自2008年签署生效以来，推动了两国之间货物贸易、服务贸易和投资合作的快速发展，双边进出口总额从2008年的44亿美元增长至2020年的181亿美元，年均增速14%。自贸协定再升级无疑是中新自贸关系在RCEP基础上的进一步提质增效。据了解，中方在RCEP基础上，进一步扩大航空、教育、金融、养老、客运等服务领域对新西兰开放，在货物贸易领域新增部分木材和纸制品的市场开放。双方还进一步优化原产地、技术性贸易壁垒、海关便利化等贸易规则，并在电子商务、政府采购、环境等领域达成了高水平合作条款，部分内容超出RCEP水平。(国际商报12-22)</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pStyle w:val="3"/>
        <w:spacing w:before="0" w:after="0" w:line="300" w:lineRule="atLeast"/>
        <w:jc w:val="center"/>
        <w:rPr>
          <w:rStyle w:val="14"/>
          <w:rFonts w:hint="eastAsia" w:ascii="bold" w:hAnsi="bold"/>
          <w:b/>
          <w:bCs/>
          <w:color w:val="000000"/>
          <w:sz w:val="27"/>
          <w:szCs w:val="27"/>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华文细黑" w:hAnsi="华文细黑" w:eastAsia="华文细黑"/>
          <w:sz w:val="28"/>
          <w:szCs w:val="28"/>
        </w:rPr>
      </w:pPr>
      <w:r>
        <w:rPr>
          <w:rFonts w:hint="eastAsia" w:ascii="华文细黑" w:hAnsi="华文细黑" w:eastAsia="华文细黑"/>
          <w:sz w:val="28"/>
          <w:szCs w:val="28"/>
        </w:rPr>
        <w:t>和平之邦加力拼自贸 区域合作叶茂根愈深</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RCEP再添翼，文莱迎发展新机</w:t>
      </w:r>
    </w:p>
    <w:p>
      <w:pPr>
        <w:spacing w:line="440" w:lineRule="exact"/>
        <w:ind w:firstLine="723" w:firstLineChars="200"/>
        <w:rPr>
          <w:rFonts w:ascii="楷体_GB2312" w:hAnsi="宋体" w:eastAsia="楷体_GB2312"/>
          <w:b/>
          <w:bCs/>
          <w:sz w:val="36"/>
          <w:szCs w:val="36"/>
        </w:rPr>
      </w:pPr>
    </w:p>
    <w:p>
      <w:pPr>
        <w:spacing w:line="440" w:lineRule="exact"/>
        <w:ind w:firstLine="723" w:firstLineChars="200"/>
        <w:rPr>
          <w:rFonts w:ascii="楷体_GB2312" w:hAnsi="宋体" w:eastAsia="楷体_GB2312"/>
          <w:b/>
          <w:bCs/>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文莱是第6个完成《区域全面经济伙伴关系协定》（RCEP）国内批准程序的成员国，即将于明年1月1日生效的RCEP将为文莱企业创造更多新机遇，惠及广大文莱民众，为其经济发展打开一扇新窗口。</w:t>
      </w:r>
    </w:p>
    <w:p>
      <w:pPr>
        <w:spacing w:line="440" w:lineRule="exact"/>
        <w:ind w:firstLine="482" w:firstLineChars="200"/>
        <w:rPr>
          <w:rFonts w:ascii="Times New Roman" w:hAnsi="宋体"/>
          <w:b/>
          <w:sz w:val="24"/>
          <w:szCs w:val="24"/>
        </w:rPr>
      </w:pPr>
      <w:r>
        <w:rPr>
          <w:rFonts w:hint="eastAsia" w:ascii="Times New Roman" w:hAnsi="宋体"/>
          <w:b/>
          <w:sz w:val="24"/>
          <w:szCs w:val="24"/>
        </w:rPr>
        <w:t>富足之邦：寻求经济多元化</w:t>
      </w:r>
    </w:p>
    <w:p>
      <w:pPr>
        <w:spacing w:line="440" w:lineRule="exact"/>
        <w:ind w:firstLine="480" w:firstLineChars="200"/>
        <w:rPr>
          <w:rFonts w:ascii="Times New Roman" w:hAnsi="宋体"/>
          <w:sz w:val="24"/>
          <w:szCs w:val="24"/>
        </w:rPr>
      </w:pPr>
      <w:r>
        <w:rPr>
          <w:rFonts w:hint="eastAsia" w:ascii="Times New Roman" w:hAnsi="宋体"/>
          <w:sz w:val="24"/>
          <w:szCs w:val="24"/>
        </w:rPr>
        <w:t>在文莱，极少高楼大厦，放眼望去青翠遍野、地阔天高，自然环境优美。文莱以原油和天然气产业为主要经济支柱，政治经济稳定，国际关系良好，尽管国土面积仅有5765平方公里，但却是世界上最富有的国家之一。宁静、和谐、富足等已成为这一“和平之邦”的标签。</w:t>
      </w:r>
    </w:p>
    <w:p>
      <w:pPr>
        <w:spacing w:line="440" w:lineRule="exact"/>
        <w:ind w:firstLine="480" w:firstLineChars="200"/>
        <w:rPr>
          <w:rFonts w:ascii="Times New Roman" w:hAnsi="宋体"/>
          <w:sz w:val="24"/>
          <w:szCs w:val="24"/>
        </w:rPr>
      </w:pPr>
      <w:r>
        <w:rPr>
          <w:rFonts w:hint="eastAsia" w:ascii="Times New Roman" w:hAnsi="宋体"/>
          <w:sz w:val="24"/>
          <w:szCs w:val="24"/>
        </w:rPr>
        <w:t>根据洛伊研究所近日发布的第四届亚洲实力指数数据，文莱综合排名比2020年提高了一位，该指数对26个印太地区国家实力进行排名，文莱综合实力排名第18位。文莱还是四个整体得分上升的国家之一。</w:t>
      </w:r>
    </w:p>
    <w:p>
      <w:pPr>
        <w:spacing w:line="440" w:lineRule="exact"/>
        <w:ind w:firstLine="480" w:firstLineChars="200"/>
        <w:rPr>
          <w:rFonts w:ascii="Times New Roman" w:hAnsi="宋体"/>
          <w:sz w:val="24"/>
          <w:szCs w:val="24"/>
        </w:rPr>
      </w:pPr>
      <w:r>
        <w:rPr>
          <w:rFonts w:hint="eastAsia" w:ascii="Times New Roman" w:hAnsi="宋体"/>
          <w:sz w:val="24"/>
          <w:szCs w:val="24"/>
        </w:rPr>
        <w:t>两年来，亚太地区多国新冠肺炎疫情起伏反复，甚至令经济陷入停滞甚至衰退。不少国家努力寻求重新开放经济，把RCEP视为本国乃至区域经济复苏的重要保障。协定的生效有望推动地区经济走出疫情阴霾，为亚太地区经济复苏注入新动力。</w:t>
      </w:r>
    </w:p>
    <w:p>
      <w:pPr>
        <w:spacing w:line="440" w:lineRule="exact"/>
        <w:ind w:firstLine="480" w:firstLineChars="200"/>
        <w:rPr>
          <w:rFonts w:ascii="Times New Roman" w:hAnsi="宋体"/>
          <w:sz w:val="24"/>
          <w:szCs w:val="24"/>
        </w:rPr>
      </w:pPr>
      <w:r>
        <w:rPr>
          <w:rFonts w:hint="eastAsia" w:ascii="Times New Roman" w:hAnsi="宋体"/>
          <w:sz w:val="24"/>
          <w:szCs w:val="24"/>
        </w:rPr>
        <w:t>作为RCEP重要成员的文莱也在积极加强与各成员国之间的经贸联系，支持开放、包容和基于规则标准的多边贸易体系，以为本国企业创造更多发展机会。文莱经济规划与统计局数据显示，2021年1至8月，文莱贸易总额为167.67亿文莱元（1文莱元约合0.73美元），同比增长52.05%。其中，出口额为92.46亿文莱元，同比增长39.24%；进口额为75.21亿文莱元，同比增长71.45%。前三大贸易伙伴是新加坡、中国和日本，贸易额占比分别为17.9%、12.09%和11.57%。文莱已与新加坡建立互惠绿色通道，与中国的绿色通道建设也在探讨中。</w:t>
      </w:r>
    </w:p>
    <w:p>
      <w:pPr>
        <w:spacing w:line="440" w:lineRule="exact"/>
        <w:ind w:firstLine="480" w:firstLineChars="200"/>
        <w:rPr>
          <w:rFonts w:ascii="Times New Roman" w:hAnsi="宋体"/>
          <w:sz w:val="24"/>
          <w:szCs w:val="24"/>
        </w:rPr>
      </w:pPr>
      <w:r>
        <w:rPr>
          <w:rFonts w:hint="eastAsia" w:ascii="Times New Roman" w:hAnsi="宋体"/>
          <w:sz w:val="24"/>
          <w:szCs w:val="24"/>
        </w:rPr>
        <w:t>目前，文莱经济在寻求多元化发展。文莱政府为减少国家经济对石油和天然气产业的过度依赖，促进经济多元化发展，提出了“2035宏愿”。RCEP正式生效所带来的巨量市场、连通性带来的经济增长，都将对文莱经济多元化发展形成强劲动力。</w:t>
      </w:r>
    </w:p>
    <w:p>
      <w:pPr>
        <w:spacing w:line="440" w:lineRule="exact"/>
        <w:ind w:firstLine="482" w:firstLineChars="200"/>
        <w:rPr>
          <w:rFonts w:ascii="Times New Roman" w:hAnsi="宋体"/>
          <w:b/>
          <w:sz w:val="24"/>
          <w:szCs w:val="24"/>
        </w:rPr>
      </w:pPr>
      <w:r>
        <w:rPr>
          <w:rFonts w:hint="eastAsia" w:ascii="Times New Roman" w:hAnsi="宋体"/>
          <w:b/>
          <w:sz w:val="24"/>
          <w:szCs w:val="24"/>
        </w:rPr>
        <w:t>中文经贸：长足发展</w:t>
      </w:r>
    </w:p>
    <w:p>
      <w:pPr>
        <w:spacing w:line="440" w:lineRule="exact"/>
        <w:ind w:firstLine="480" w:firstLineChars="200"/>
        <w:rPr>
          <w:rFonts w:ascii="Times New Roman" w:hAnsi="宋体"/>
          <w:sz w:val="24"/>
          <w:szCs w:val="24"/>
        </w:rPr>
      </w:pPr>
      <w:r>
        <w:rPr>
          <w:rFonts w:hint="eastAsia" w:ascii="Times New Roman" w:hAnsi="宋体"/>
          <w:sz w:val="24"/>
          <w:szCs w:val="24"/>
        </w:rPr>
        <w:t>近年来，中文经贸获得了长足发展。中国已成为文莱最大的外资来源地、第三大贸易伙伴。2021年1至8月，双边贸易额达18.3亿美元，同比增长43.2%。中文两国“一带一路”重点合作项目恒逸石化是文莱最大的外商直接投资项目，恒逸石化不仅延长了文莱油气下游产业的产业链，还成为促进就业、拉动经济增长的新引擎。“广西-文莱经济走廊”是中文之间重要的经济合作平台。中国企业承建的大桥、公路、水坝，为提升文莱的互联互通水平作出了重要贡献。双方在民航、卫生、文化、旅游等领域的合作不断深化。</w:t>
      </w:r>
    </w:p>
    <w:p>
      <w:pPr>
        <w:spacing w:line="440" w:lineRule="exact"/>
        <w:ind w:firstLine="480" w:firstLineChars="200"/>
        <w:rPr>
          <w:rFonts w:ascii="Times New Roman" w:hAnsi="宋体"/>
          <w:sz w:val="24"/>
          <w:szCs w:val="24"/>
        </w:rPr>
      </w:pPr>
      <w:r>
        <w:rPr>
          <w:rFonts w:hint="eastAsia" w:ascii="Times New Roman" w:hAnsi="宋体"/>
          <w:sz w:val="24"/>
          <w:szCs w:val="24"/>
        </w:rPr>
        <w:t>中文合作领域不断扩大，渔业合作成新亮点。渔业是文莱实现“2035宏愿”的重要抓手。今年，文莱的林渔业产值大幅上扬，上半年农林渔业国内生产总值（GDP）为1.25亿文莱元，同比增长57.1%，主要原因是渔类、畜牧和禽类产量增加。中国与文莱的渔业合作还在不断深入。如中国企业海世通在文莱的渔业综合开发项目是“广西-文莱经济走廊”的第一个落地项目，成为第一个将文莱的养殖鱼产品出口到国外的企业、第一个在文莱当地实现海水鱼苗繁育循环化和规模化的企业、并建造了文莱的第一个外海海洋牧场。</w:t>
      </w:r>
    </w:p>
    <w:p>
      <w:pPr>
        <w:spacing w:line="440" w:lineRule="exact"/>
        <w:ind w:firstLine="480" w:firstLineChars="200"/>
        <w:rPr>
          <w:rFonts w:ascii="Times New Roman" w:hAnsi="宋体"/>
          <w:sz w:val="24"/>
          <w:szCs w:val="24"/>
        </w:rPr>
      </w:pPr>
      <w:r>
        <w:rPr>
          <w:rFonts w:hint="eastAsia" w:ascii="Times New Roman" w:hAnsi="宋体"/>
          <w:sz w:val="24"/>
          <w:szCs w:val="24"/>
        </w:rPr>
        <w:t>为应对新冠肺炎疫情，两国还拓展了在医疗卫生领域的合作。新冠肺炎疫情暴发后，中方除向文莱捐赠疫苗外，中国企业还向文莱提供抗疫技术支持与合作。中企华大基因响应文莱政府的需求，在文建成了东南亚首座移动气模火眼实验室。</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文莱虽是东盟里面积最小的国家，但在推动中国-东盟对话关系发展的过程中，文莱同样贡献了积极力量与“文莱智慧”。2013年和2021年，文莱两次担任东盟轮值主席国，在此期间文莱有力作为，从成为亚洲基础设施投资银行的创始成员国之一，到共同签署RCEP；从大力推动东盟东部经济增长区发展，到共商共办中国-东盟博览会，文莱始终是积极推进中国与东盟间友好关系。今年是中文建交30周年，文莱不仅与各成员国一道推动RCEP尽早生效实施，还对中方申请加入《全面与进步跨太平洋伙伴关系协定》（CPTPP）给予帮助和支持。中文两国已成为不同制度、不同大小国家之间平等相待、共同发展的互利共赢典范。（国际商报12-17）</w:t>
      </w:r>
    </w:p>
    <w:p>
      <w:pPr>
        <w:spacing w:line="440" w:lineRule="exact"/>
        <w:ind w:firstLine="480" w:firstLineChars="200"/>
        <w:rPr>
          <w:rFonts w:ascii="Times New Roman" w:hAnsi="宋体"/>
          <w:sz w:val="24"/>
          <w:szCs w:val="24"/>
        </w:rPr>
      </w:pPr>
    </w:p>
    <w:p>
      <w:pPr>
        <w:widowControl/>
        <w:shd w:val="clear" w:color="auto" w:fill="FFFFFF"/>
        <w:spacing w:before="75" w:line="440" w:lineRule="exact"/>
        <w:ind w:firstLine="460" w:firstLineChars="200"/>
        <w:rPr>
          <w:rFonts w:ascii="宋体" w:hAnsi="宋体" w:cs="宋体"/>
          <w:color w:val="000000"/>
          <w:kern w:val="0"/>
          <w:sz w:val="23"/>
          <w:szCs w:val="23"/>
        </w:rPr>
      </w:pPr>
    </w:p>
    <w:p>
      <w:pPr>
        <w:widowControl/>
        <w:shd w:val="clear" w:color="auto" w:fill="FFFFFF"/>
        <w:spacing w:before="75" w:line="440" w:lineRule="exact"/>
        <w:ind w:firstLine="460" w:firstLineChars="200"/>
        <w:rPr>
          <w:rFonts w:ascii="宋体" w:hAnsi="宋体" w:cs="宋体"/>
          <w:color w:val="000000"/>
          <w:kern w:val="0"/>
          <w:sz w:val="23"/>
          <w:szCs w:val="23"/>
        </w:rPr>
      </w:pPr>
    </w:p>
    <w:p>
      <w:pPr>
        <w:widowControl/>
        <w:shd w:val="clear" w:color="auto" w:fill="FFFFFF"/>
        <w:spacing w:before="75"/>
        <w:ind w:firstLine="480"/>
        <w:jc w:val="left"/>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经贸论坛</w:t>
      </w:r>
    </w:p>
    <w:p>
      <w:pPr>
        <w:spacing w:line="440" w:lineRule="exact"/>
        <w:jc w:val="left"/>
      </w:pPr>
    </w:p>
    <w:p>
      <w:pPr>
        <w:spacing w:line="440" w:lineRule="exact"/>
        <w:jc w:val="left"/>
        <w:rPr>
          <w:rFonts w:ascii="华文彩云" w:hAnsi="宋体" w:eastAsia="华文彩云"/>
          <w:b/>
          <w:sz w:val="36"/>
          <w:szCs w:val="36"/>
        </w:rPr>
      </w:pPr>
    </w:p>
    <w:p>
      <w:pPr>
        <w:spacing w:line="440" w:lineRule="exact"/>
        <w:jc w:val="left"/>
        <w:rPr>
          <w:rFonts w:ascii="华文彩云" w:hAnsi="宋体" w:eastAsia="华文彩云"/>
          <w:b/>
          <w:sz w:val="36"/>
          <w:szCs w:val="36"/>
        </w:rPr>
        <w:sectPr>
          <w:pgSz w:w="11906" w:h="16838"/>
          <w:pgMar w:top="1440" w:right="1800" w:bottom="1440" w:left="1800" w:header="851" w:footer="992" w:gutter="0"/>
          <w:cols w:space="425" w:num="1"/>
          <w:docGrid w:type="lines" w:linePitch="312" w:charSpace="0"/>
        </w:sectPr>
      </w:pPr>
    </w:p>
    <w:p>
      <w:pPr>
        <w:widowControl/>
        <w:shd w:val="clear" w:color="auto" w:fill="FFFFFF"/>
        <w:spacing w:line="500" w:lineRule="exact"/>
        <w:jc w:val="center"/>
        <w:outlineLvl w:val="0"/>
        <w:rPr>
          <w:rFonts w:ascii="楷体_GB2312" w:hAnsi="宋体" w:eastAsia="楷体_GB2312"/>
          <w:b/>
          <w:bCs/>
          <w:sz w:val="36"/>
          <w:szCs w:val="36"/>
        </w:rPr>
      </w:pPr>
      <w:r>
        <w:rPr>
          <w:rFonts w:ascii="楷体_GB2312" w:hAnsi="宋体" w:eastAsia="楷体_GB2312"/>
          <w:b/>
          <w:bCs/>
          <w:sz w:val="36"/>
          <w:szCs w:val="36"/>
        </w:rPr>
        <w:t>前11个月我国进出口总值已超去年全年</w:t>
      </w:r>
    </w:p>
    <w:p>
      <w:pPr>
        <w:spacing w:line="500" w:lineRule="exact"/>
        <w:jc w:val="center"/>
        <w:rPr>
          <w:rFonts w:ascii="华文细黑" w:hAnsi="华文细黑" w:eastAsia="华文细黑"/>
          <w:sz w:val="28"/>
          <w:szCs w:val="28"/>
        </w:rPr>
      </w:pPr>
      <w:r>
        <w:rPr>
          <w:rFonts w:ascii="华文细黑" w:hAnsi="华文细黑" w:eastAsia="华文细黑"/>
          <w:sz w:val="28"/>
          <w:szCs w:val="28"/>
        </w:rPr>
        <w:t>新一轮稳外贸政策正在酝酿</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ascii="Times New Roman" w:hAnsi="宋体"/>
          <w:sz w:val="24"/>
          <w:szCs w:val="24"/>
        </w:rPr>
        <w:t>12月7日，海关总署公布的数据显示，11月份，我国进出口总值3.72万亿元，同比增长20.5%，环比增长11.4%，比2019年同期增长29.6%。其中，出口2.09万亿元，同比增长16.6%；进口1.63万亿元，同比增长26%。</w:t>
      </w:r>
    </w:p>
    <w:p>
      <w:pPr>
        <w:spacing w:line="440" w:lineRule="exact"/>
        <w:ind w:firstLine="480" w:firstLineChars="200"/>
        <w:rPr>
          <w:rFonts w:ascii="Times New Roman" w:hAnsi="宋体"/>
          <w:sz w:val="24"/>
          <w:szCs w:val="24"/>
        </w:rPr>
      </w:pPr>
      <w:r>
        <w:rPr>
          <w:rFonts w:ascii="Times New Roman" w:hAnsi="宋体"/>
          <w:sz w:val="24"/>
          <w:szCs w:val="24"/>
        </w:rPr>
        <w:t>另一组数据显示，今年前11个月，我国进出口总值35.39万亿元，同比增长22%，比2019年同期增长24%。其中，出口19.58万亿元，同比增长21.8%；进口15.81万亿元，同比增长22.2%；贸易顺差3.77万亿元，同比增加20.1%。</w:t>
      </w:r>
    </w:p>
    <w:p>
      <w:pPr>
        <w:spacing w:line="440" w:lineRule="exact"/>
        <w:ind w:firstLine="480" w:firstLineChars="200"/>
        <w:rPr>
          <w:rFonts w:ascii="Times New Roman" w:hAnsi="宋体"/>
          <w:sz w:val="24"/>
          <w:szCs w:val="24"/>
        </w:rPr>
      </w:pPr>
      <w:r>
        <w:rPr>
          <w:rFonts w:ascii="Times New Roman" w:hAnsi="宋体"/>
          <w:sz w:val="24"/>
          <w:szCs w:val="24"/>
        </w:rPr>
        <w:t>也就是说，今年前11个月，我国进出口总值已超过去年全年的规模。</w:t>
      </w:r>
    </w:p>
    <w:p>
      <w:pPr>
        <w:spacing w:line="440" w:lineRule="exact"/>
        <w:ind w:firstLine="480" w:firstLineChars="200"/>
        <w:rPr>
          <w:rFonts w:ascii="Times New Roman" w:hAnsi="宋体"/>
          <w:sz w:val="24"/>
          <w:szCs w:val="24"/>
        </w:rPr>
      </w:pPr>
      <w:r>
        <w:rPr>
          <w:rFonts w:ascii="Times New Roman" w:hAnsi="宋体"/>
          <w:sz w:val="24"/>
          <w:szCs w:val="24"/>
        </w:rPr>
        <w:t>受访专家表示，随着圣诞订单出货进入尾声，加上其他因素的影响，外贸出口将呈现阶段性走弱趋势。面对挑战和不确定因素的增加，商务部近期表示，将会同有关部门做好跨周期调节工作，适时出台新一轮稳外贸政策举措，确保外贸运行在合理区间。</w:t>
      </w:r>
    </w:p>
    <w:p>
      <w:pPr>
        <w:spacing w:line="440" w:lineRule="exact"/>
        <w:ind w:firstLine="482" w:firstLineChars="200"/>
        <w:rPr>
          <w:rFonts w:ascii="Times New Roman" w:hAnsi="宋体"/>
          <w:b/>
          <w:sz w:val="24"/>
          <w:szCs w:val="24"/>
        </w:rPr>
      </w:pPr>
      <w:r>
        <w:rPr>
          <w:rFonts w:ascii="Times New Roman" w:hAnsi="宋体"/>
          <w:b/>
          <w:sz w:val="24"/>
          <w:szCs w:val="24"/>
        </w:rPr>
        <w:t>包括口罩在内的纺织品出口同比下降14.3%</w:t>
      </w:r>
    </w:p>
    <w:p>
      <w:pPr>
        <w:spacing w:line="440" w:lineRule="exact"/>
        <w:ind w:firstLine="480" w:firstLineChars="200"/>
        <w:rPr>
          <w:rFonts w:ascii="Times New Roman" w:hAnsi="宋体"/>
          <w:sz w:val="24"/>
          <w:szCs w:val="24"/>
        </w:rPr>
      </w:pPr>
      <w:r>
        <w:rPr>
          <w:rFonts w:ascii="Times New Roman" w:hAnsi="宋体"/>
          <w:sz w:val="24"/>
          <w:szCs w:val="24"/>
        </w:rPr>
        <w:t>对于前11个月的外贸数据，海关总署统计分析司司长李魁文表示，今年前11个月，我国外贸进出口总值已超过去年全年的规模，与2019年同期相比增速达到了24%。</w:t>
      </w:r>
    </w:p>
    <w:p>
      <w:pPr>
        <w:spacing w:line="440" w:lineRule="exact"/>
        <w:ind w:firstLine="480" w:firstLineChars="200"/>
        <w:rPr>
          <w:rFonts w:ascii="Times New Roman" w:hAnsi="宋体"/>
          <w:sz w:val="24"/>
          <w:szCs w:val="24"/>
        </w:rPr>
      </w:pPr>
      <w:r>
        <w:rPr>
          <w:rFonts w:ascii="Times New Roman" w:hAnsi="宋体"/>
          <w:sz w:val="24"/>
          <w:szCs w:val="24"/>
        </w:rPr>
        <w:t>从出口产品来看，前11个月，机电产品和劳动密集型产品出口均增长。</w:t>
      </w:r>
    </w:p>
    <w:p>
      <w:pPr>
        <w:spacing w:line="440" w:lineRule="exact"/>
        <w:ind w:firstLine="480" w:firstLineChars="200"/>
        <w:rPr>
          <w:rFonts w:ascii="Times New Roman" w:hAnsi="宋体"/>
          <w:sz w:val="24"/>
          <w:szCs w:val="24"/>
        </w:rPr>
      </w:pPr>
      <w:r>
        <w:rPr>
          <w:rFonts w:ascii="Times New Roman" w:hAnsi="宋体"/>
          <w:sz w:val="24"/>
          <w:szCs w:val="24"/>
        </w:rPr>
        <w:t>前11个月，我国出口机电产品11.55万亿元，增长21.2%，占出口总值的59%。其中，自动数据处理设备及其零部件1.47万亿元，增长12.3%；手机8225.4亿元，增长6.8%；家用电器5865.1亿元，增长16.3%；汽车(包括底盘)2029.9亿元，增长108.4%。</w:t>
      </w:r>
    </w:p>
    <w:p>
      <w:pPr>
        <w:spacing w:line="440" w:lineRule="exact"/>
        <w:ind w:firstLine="480" w:firstLineChars="200"/>
        <w:rPr>
          <w:rFonts w:ascii="Times New Roman" w:hAnsi="宋体"/>
          <w:sz w:val="24"/>
          <w:szCs w:val="24"/>
        </w:rPr>
      </w:pPr>
      <w:r>
        <w:rPr>
          <w:rFonts w:ascii="Times New Roman" w:hAnsi="宋体"/>
          <w:sz w:val="24"/>
          <w:szCs w:val="24"/>
        </w:rPr>
        <w:t>同期，出口劳动密集型产品3.56万亿元，增长10.2%，占18.2%。其中，服装及衣着附件9982.4亿元，增长16.1%；包括口罩在内的纺织品8471.6亿元，下降14.3%；塑料制品5773.4亿元，增长21.7%。</w:t>
      </w:r>
    </w:p>
    <w:p>
      <w:pPr>
        <w:spacing w:line="440" w:lineRule="exact"/>
        <w:ind w:firstLine="480" w:firstLineChars="200"/>
        <w:rPr>
          <w:rFonts w:ascii="Times New Roman" w:hAnsi="宋体"/>
          <w:sz w:val="24"/>
          <w:szCs w:val="24"/>
        </w:rPr>
      </w:pPr>
      <w:r>
        <w:rPr>
          <w:rFonts w:ascii="Times New Roman" w:hAnsi="宋体"/>
          <w:sz w:val="24"/>
          <w:szCs w:val="24"/>
        </w:rPr>
        <w:t>李魁文表示，前11个月我国一般贸易进出口21.81万亿元，同比增长25.2%。跨境电商等新兴贸易业态蓬勃发展，贸易方式结构进一步优化。与此同时，我国积极优化全球市场布局。前11个月，我国对东盟、欧盟、美国、日本进出口同比分别增长20.6%、20%、21.1%和10.7%。同期，我国与“一带一路”沿线国家进出口合计10.43万亿元，同比增长23.5%。</w:t>
      </w:r>
    </w:p>
    <w:p>
      <w:pPr>
        <w:spacing w:line="440" w:lineRule="exact"/>
        <w:ind w:firstLine="480" w:firstLineChars="200"/>
        <w:rPr>
          <w:rFonts w:ascii="Times New Roman" w:hAnsi="宋体"/>
          <w:sz w:val="24"/>
          <w:szCs w:val="24"/>
        </w:rPr>
      </w:pPr>
      <w:r>
        <w:rPr>
          <w:rFonts w:ascii="Times New Roman" w:hAnsi="宋体"/>
          <w:sz w:val="24"/>
          <w:szCs w:val="24"/>
        </w:rPr>
        <w:t>商务部研究院国际市场研究所副所长白明在接受记者采访时表示，11月的出口保持了较快增长，外贸景气度延续10月改善态势。一方面，受疫情影响，东南亚等国家的订单有向中国转移的趋势；另一方面，国外圣诞消费季临近，加上海运“缺箱”现象有所缓解，多重因素令11月出口保持了韧性。</w:t>
      </w:r>
    </w:p>
    <w:p>
      <w:pPr>
        <w:spacing w:line="440" w:lineRule="exact"/>
        <w:ind w:firstLine="480" w:firstLineChars="200"/>
        <w:rPr>
          <w:rFonts w:ascii="Times New Roman" w:hAnsi="宋体"/>
          <w:sz w:val="24"/>
          <w:szCs w:val="24"/>
        </w:rPr>
      </w:pPr>
      <w:r>
        <w:rPr>
          <w:rFonts w:ascii="Times New Roman" w:hAnsi="宋体"/>
          <w:sz w:val="24"/>
          <w:szCs w:val="24"/>
        </w:rPr>
        <w:t>白明分析，11月PMI指标的反弹也释放了经济回暖的积极信号。11月，制造业新出口订单指数和进口指数分别为48.5%和48.1%，分别比10月上升1.9和0.6个百分点。从行业情况看，医药、汽车、电气机械器材等行业新出口订单指数均高于10月3.0个百分点以上，升至扩张区间，行业出口产品订货量有所增加。</w:t>
      </w:r>
    </w:p>
    <w:p>
      <w:pPr>
        <w:spacing w:line="440" w:lineRule="exact"/>
        <w:ind w:firstLine="480" w:firstLineChars="200"/>
        <w:rPr>
          <w:rFonts w:ascii="Times New Roman" w:hAnsi="宋体"/>
          <w:sz w:val="24"/>
          <w:szCs w:val="24"/>
        </w:rPr>
      </w:pPr>
      <w:r>
        <w:rPr>
          <w:rFonts w:ascii="Times New Roman" w:hAnsi="宋体"/>
          <w:sz w:val="24"/>
          <w:szCs w:val="24"/>
        </w:rPr>
        <w:t>中央党校（国家行政学院）研究员胡敏表示，“前11个月我国进出口数据和实现的贸易顺差，无疑成为今年我国经济发展的一大亮点。这既是我国今年巩固统筹疫情防控和经济社会发展成果的重要体现，也是不断推动高水平对外开放、主动打造外贸竞争新优势的突出体现。”</w:t>
      </w:r>
    </w:p>
    <w:p>
      <w:pPr>
        <w:spacing w:line="440" w:lineRule="exact"/>
        <w:ind w:firstLine="482" w:firstLineChars="200"/>
        <w:rPr>
          <w:rFonts w:ascii="Times New Roman" w:hAnsi="宋体"/>
          <w:b/>
          <w:sz w:val="24"/>
          <w:szCs w:val="24"/>
        </w:rPr>
      </w:pPr>
      <w:r>
        <w:rPr>
          <w:rFonts w:ascii="Times New Roman" w:hAnsi="宋体"/>
          <w:b/>
          <w:sz w:val="24"/>
          <w:szCs w:val="24"/>
        </w:rPr>
        <w:t>中小企业面临“增收不增利”难题</w:t>
      </w:r>
    </w:p>
    <w:p>
      <w:pPr>
        <w:spacing w:line="440" w:lineRule="exact"/>
        <w:ind w:firstLine="480" w:firstLineChars="200"/>
        <w:rPr>
          <w:rFonts w:ascii="Times New Roman" w:hAnsi="宋体"/>
          <w:sz w:val="24"/>
          <w:szCs w:val="24"/>
        </w:rPr>
      </w:pPr>
      <w:r>
        <w:rPr>
          <w:rFonts w:ascii="Times New Roman" w:hAnsi="宋体"/>
          <w:sz w:val="24"/>
          <w:szCs w:val="24"/>
        </w:rPr>
        <w:t>虽然外贸数据不断向好，不过从微观层面来看，这一年，中小微外贸企业的生存境况普遍并不乐观。在原材料不断涨价、海运费暴涨、人民币汇率上升、国内限电限产等多重因素的影响下，众多外贸企业不得不在复杂的环境下艰难突围。</w:t>
      </w:r>
    </w:p>
    <w:p>
      <w:pPr>
        <w:spacing w:line="440" w:lineRule="exact"/>
        <w:ind w:firstLine="480" w:firstLineChars="200"/>
        <w:rPr>
          <w:rFonts w:ascii="Times New Roman" w:hAnsi="宋体"/>
          <w:sz w:val="24"/>
          <w:szCs w:val="24"/>
        </w:rPr>
      </w:pPr>
      <w:r>
        <w:rPr>
          <w:rFonts w:ascii="Times New Roman" w:hAnsi="宋体"/>
          <w:sz w:val="24"/>
          <w:szCs w:val="24"/>
        </w:rPr>
        <w:t>商务部副部长任鸿斌此前也表示，在中国外贸高速增长的背后，必须清醒看到，许多外贸企业特别是中小微外贸企业经营压力增大，困难增多，“有单不敢接”“增收不增利”现象较为普遍。“外贸发展还存在很多隐忧，不能盲目乐观。”他说。</w:t>
      </w:r>
    </w:p>
    <w:p>
      <w:pPr>
        <w:spacing w:line="440" w:lineRule="exact"/>
        <w:ind w:firstLine="480" w:firstLineChars="200"/>
        <w:rPr>
          <w:rFonts w:ascii="Times New Roman" w:hAnsi="宋体"/>
          <w:sz w:val="24"/>
          <w:szCs w:val="24"/>
        </w:rPr>
      </w:pPr>
      <w:r>
        <w:rPr>
          <w:rFonts w:ascii="Times New Roman" w:hAnsi="宋体"/>
          <w:sz w:val="24"/>
          <w:szCs w:val="24"/>
        </w:rPr>
        <w:t>任鸿斌表示，当前外贸面临的挑战不容忽视，微观企业主体也面临着贸易风险多、成本上涨多、供应链堵点多，以及订单少、芯片少、制造业劳动力偏少等“三多三少”六大困难。</w:t>
      </w:r>
    </w:p>
    <w:p>
      <w:pPr>
        <w:spacing w:line="440" w:lineRule="exact"/>
        <w:ind w:firstLine="480" w:firstLineChars="200"/>
        <w:rPr>
          <w:rFonts w:ascii="Times New Roman" w:hAnsi="宋体"/>
          <w:sz w:val="24"/>
          <w:szCs w:val="24"/>
        </w:rPr>
      </w:pPr>
      <w:r>
        <w:rPr>
          <w:rFonts w:ascii="Times New Roman" w:hAnsi="宋体"/>
          <w:sz w:val="24"/>
          <w:szCs w:val="24"/>
        </w:rPr>
        <w:t>对于“三多三少”六大困难，不少外贸企业深有感触。东莞市大朗成邦服饰针织厂是一家中小外贸企业，今年，订单的数量和往年差不多，不过利润却有明显下滑。公司负责人谢福平表示，“今年明显赚得少了，因为生产成本在增加，而产品的出厂价格没有变动。”</w:t>
      </w:r>
    </w:p>
    <w:p>
      <w:pPr>
        <w:spacing w:line="440" w:lineRule="exact"/>
        <w:ind w:firstLine="480" w:firstLineChars="200"/>
        <w:rPr>
          <w:rFonts w:ascii="Times New Roman" w:hAnsi="宋体"/>
          <w:sz w:val="24"/>
          <w:szCs w:val="24"/>
        </w:rPr>
      </w:pPr>
      <w:r>
        <w:rPr>
          <w:rFonts w:ascii="Times New Roman" w:hAnsi="宋体"/>
          <w:sz w:val="24"/>
          <w:szCs w:val="24"/>
        </w:rPr>
        <w:t>对此，白明表示，“现在很多行业面临的问题是，企业的订单增加了，但订单做得很辛苦，接了单后风险又很大，所以就陷入‘有单不敢接’的困境。”</w:t>
      </w:r>
    </w:p>
    <w:p>
      <w:pPr>
        <w:spacing w:line="440" w:lineRule="exact"/>
        <w:ind w:firstLine="480" w:firstLineChars="200"/>
        <w:rPr>
          <w:rFonts w:ascii="Times New Roman" w:hAnsi="宋体"/>
          <w:sz w:val="24"/>
          <w:szCs w:val="24"/>
        </w:rPr>
      </w:pPr>
      <w:r>
        <w:rPr>
          <w:rFonts w:ascii="Times New Roman" w:hAnsi="宋体"/>
          <w:sz w:val="24"/>
          <w:szCs w:val="24"/>
        </w:rPr>
        <w:t>目前，众多外贸企业正在加紧出完欧美市场最后的一批圣诞订单。21世纪经济报道记者了解到，今年的圣诞订单，中小企业的“不赚钱”效应突出。对中小企业来说，由于缺乏订单，有一些钱赚就会接单，但受到海运价格、原材料价格上涨等多重不确定因素影响，今年不少订单都是亏损。</w:t>
      </w:r>
    </w:p>
    <w:p>
      <w:pPr>
        <w:spacing w:line="440" w:lineRule="exact"/>
        <w:ind w:firstLine="480" w:firstLineChars="200"/>
        <w:rPr>
          <w:rFonts w:ascii="Times New Roman" w:hAnsi="宋体"/>
          <w:sz w:val="24"/>
          <w:szCs w:val="24"/>
        </w:rPr>
      </w:pPr>
      <w:r>
        <w:rPr>
          <w:rFonts w:ascii="Times New Roman" w:hAnsi="宋体"/>
          <w:sz w:val="24"/>
          <w:szCs w:val="24"/>
        </w:rPr>
        <w:t>胡敏表示，“从目前的外贸增长态势来看，我国外贸企业尤其是中小微外贸企业的发展后劲已经明显不足，这既有成本上升问题，更主要的原因是，在新的国际竞争格局下，我们在产业链供应链上的话语权还不是很大，这就要求我国外贸企业必须转变发展方式，积极挖掘国内市场。”</w:t>
      </w:r>
    </w:p>
    <w:p>
      <w:pPr>
        <w:spacing w:line="440" w:lineRule="exact"/>
        <w:ind w:firstLine="482" w:firstLineChars="200"/>
        <w:rPr>
          <w:rFonts w:ascii="Times New Roman" w:hAnsi="宋体"/>
          <w:b/>
          <w:sz w:val="24"/>
          <w:szCs w:val="24"/>
        </w:rPr>
      </w:pPr>
      <w:r>
        <w:rPr>
          <w:rFonts w:ascii="Times New Roman" w:hAnsi="宋体"/>
          <w:b/>
          <w:sz w:val="24"/>
          <w:szCs w:val="24"/>
        </w:rPr>
        <w:t>新一轮稳外贸政策举措将出台</w:t>
      </w:r>
    </w:p>
    <w:p>
      <w:pPr>
        <w:spacing w:line="440" w:lineRule="exact"/>
        <w:ind w:firstLine="480" w:firstLineChars="200"/>
        <w:rPr>
          <w:rFonts w:ascii="Times New Roman" w:hAnsi="宋体"/>
          <w:sz w:val="24"/>
          <w:szCs w:val="24"/>
        </w:rPr>
      </w:pPr>
      <w:r>
        <w:rPr>
          <w:rFonts w:ascii="Times New Roman" w:hAnsi="宋体"/>
          <w:sz w:val="24"/>
          <w:szCs w:val="24"/>
        </w:rPr>
        <w:t>今年以来，中国外贸展现较强韧性，实现了较快增长，货物进出口规模和国际市场份额均创历史同期新高。专家表示，面对不确定性因素增加等带来的挑战，各地已在加强跨周期调节，可以为明年外贸稳定增长奠定良好基础。</w:t>
      </w:r>
    </w:p>
    <w:p>
      <w:pPr>
        <w:spacing w:line="440" w:lineRule="exact"/>
        <w:ind w:firstLine="480" w:firstLineChars="200"/>
        <w:rPr>
          <w:rFonts w:ascii="Times New Roman" w:hAnsi="宋体"/>
          <w:sz w:val="24"/>
          <w:szCs w:val="24"/>
        </w:rPr>
      </w:pPr>
      <w:r>
        <w:rPr>
          <w:rFonts w:ascii="Times New Roman" w:hAnsi="宋体"/>
          <w:sz w:val="24"/>
          <w:szCs w:val="24"/>
        </w:rPr>
        <w:t>不过，我国外贸依然面临着较大的压力。植信投资首席经济学家兼研究院院长连平近期预测时则表示，欧美市场是我国出口拉动主力，因圣诞节外贸订单阶段性出货完成，外需将逐渐阶段性偏弱。</w:t>
      </w:r>
    </w:p>
    <w:p>
      <w:pPr>
        <w:spacing w:line="440" w:lineRule="exact"/>
        <w:ind w:firstLine="480" w:firstLineChars="200"/>
        <w:rPr>
          <w:rFonts w:ascii="Times New Roman" w:hAnsi="宋体"/>
          <w:sz w:val="24"/>
          <w:szCs w:val="24"/>
        </w:rPr>
      </w:pPr>
      <w:r>
        <w:rPr>
          <w:rFonts w:ascii="Times New Roman" w:hAnsi="宋体"/>
          <w:sz w:val="24"/>
          <w:szCs w:val="24"/>
        </w:rPr>
        <w:t>记者梳理发现，临近年末，在外贸稳增长方面，从中央到地方都频繁释放出信号。一些省市也陆续出台了相关举措，为外贸今年的收官和明年开局打下坚实基础。</w:t>
      </w:r>
    </w:p>
    <w:p>
      <w:pPr>
        <w:spacing w:line="440" w:lineRule="exact"/>
        <w:ind w:firstLine="480" w:firstLineChars="200"/>
        <w:rPr>
          <w:rFonts w:ascii="Times New Roman" w:hAnsi="宋体"/>
          <w:sz w:val="24"/>
          <w:szCs w:val="24"/>
        </w:rPr>
      </w:pPr>
      <w:r>
        <w:rPr>
          <w:rFonts w:ascii="Times New Roman" w:hAnsi="宋体"/>
          <w:sz w:val="24"/>
          <w:szCs w:val="24"/>
        </w:rPr>
        <w:t>今年7月，国务院办公厅印发《关于加快发展外贸新业态新模式的意见》，提出了外贸新业态新模式持续健康创新发展的方向。</w:t>
      </w:r>
    </w:p>
    <w:p>
      <w:pPr>
        <w:spacing w:line="440" w:lineRule="exact"/>
        <w:ind w:firstLine="480" w:firstLineChars="200"/>
        <w:rPr>
          <w:rFonts w:ascii="Times New Roman" w:hAnsi="宋体"/>
          <w:sz w:val="24"/>
          <w:szCs w:val="24"/>
        </w:rPr>
      </w:pPr>
      <w:r>
        <w:rPr>
          <w:rFonts w:ascii="Times New Roman" w:hAnsi="宋体"/>
          <w:sz w:val="24"/>
          <w:szCs w:val="24"/>
        </w:rPr>
        <w:t>11月24日，任鸿斌在</w:t>
      </w:r>
      <w:r>
        <w:rPr>
          <w:rFonts w:hint="eastAsia" w:ascii="Times New Roman" w:hAnsi="宋体"/>
          <w:sz w:val="24"/>
          <w:szCs w:val="24"/>
        </w:rPr>
        <w:t>《</w:t>
      </w:r>
      <w:r>
        <w:rPr>
          <w:rFonts w:ascii="Times New Roman" w:hAnsi="宋体"/>
          <w:sz w:val="24"/>
          <w:szCs w:val="24"/>
        </w:rPr>
        <w:t>“十四五”对外贸易高质量发展规划》专题新闻发布会上表示，下一步，商务部将针对外贸企业面临的实际困难和需要，会同有关部门做好跨周期调节工作，适时出台新一轮稳外贸政策举措，确保外贸运行在合理区间。</w:t>
      </w:r>
    </w:p>
    <w:p>
      <w:pPr>
        <w:spacing w:line="440" w:lineRule="exact"/>
        <w:ind w:firstLine="480" w:firstLineChars="200"/>
        <w:rPr>
          <w:rFonts w:ascii="Times New Roman" w:hAnsi="宋体"/>
          <w:sz w:val="24"/>
          <w:szCs w:val="24"/>
        </w:rPr>
      </w:pPr>
      <w:r>
        <w:rPr>
          <w:rFonts w:ascii="Times New Roman" w:hAnsi="宋体"/>
          <w:sz w:val="24"/>
          <w:szCs w:val="24"/>
        </w:rPr>
        <w:t>同时，商务部将对标商务工作“三个重要”新定位，认真落实“十四五”外贸高质量发展规划，持续提升外贸服务构建新发展格局的能力，坚决稳住外贸外资基本盘，着力从稳主体、促创新、强韧性、拓市场四方面开展工作。</w:t>
      </w:r>
    </w:p>
    <w:p>
      <w:pPr>
        <w:spacing w:line="440" w:lineRule="exact"/>
        <w:ind w:firstLine="480" w:firstLineChars="200"/>
        <w:rPr>
          <w:rFonts w:ascii="Times New Roman" w:hAnsi="宋体"/>
          <w:sz w:val="24"/>
          <w:szCs w:val="24"/>
        </w:rPr>
      </w:pPr>
      <w:r>
        <w:rPr>
          <w:rFonts w:ascii="Times New Roman" w:hAnsi="宋体"/>
          <w:sz w:val="24"/>
          <w:szCs w:val="24"/>
        </w:rPr>
        <w:t>商务部外贸司司长李兴乾介绍，接下来，商务部将会同有关部门做好新一批跨境电商综试区扩围工作，建立综试区评估与退出机制；优化市场采购贸易方式试点动态调整机制，更好发挥试点区域引领作用；鼓励各地创新配套措施，支持外贸综合服务企业为更多中小微外贸企业提供服务；培育一批优秀海外仓企业，推进海外智慧物流平台建设，推动海外仓标准建设；提升保税维修业务发展水平；稳步推进离岸贸易发展。</w:t>
      </w:r>
    </w:p>
    <w:p>
      <w:pPr>
        <w:spacing w:line="440" w:lineRule="exact"/>
        <w:ind w:firstLine="480" w:firstLineChars="200"/>
        <w:rPr>
          <w:rFonts w:ascii="Times New Roman" w:hAnsi="宋体"/>
          <w:sz w:val="24"/>
          <w:szCs w:val="24"/>
        </w:rPr>
      </w:pPr>
      <w:r>
        <w:rPr>
          <w:rFonts w:ascii="Times New Roman" w:hAnsi="宋体"/>
          <w:sz w:val="24"/>
          <w:szCs w:val="24"/>
        </w:rPr>
        <w:t>胡敏表示，近一年来，政府部门已经出台一系列稳外贸的举措，除了要在金融财税政策上为企业纾困外，更重要的是需要培育我国外贸企业新的增长点，推动产品结构和产业结构的调整，鼓励企业向“专精特新”方向转型。“企业也要主动转型，适应新发展阶段，着力打造自身核心竞争力，这样才能在国际市场中站稳脚跟。”</w:t>
      </w:r>
      <w:r>
        <w:rPr>
          <w:rFonts w:hint="eastAsia" w:ascii="Times New Roman" w:hAnsi="宋体"/>
          <w:sz w:val="24"/>
          <w:szCs w:val="24"/>
        </w:rPr>
        <w:t>（</w:t>
      </w:r>
      <w:r>
        <w:rPr>
          <w:rFonts w:ascii="Times New Roman" w:hAnsi="宋体"/>
          <w:sz w:val="24"/>
          <w:szCs w:val="24"/>
        </w:rPr>
        <w:t>21世纪经济报道</w:t>
      </w:r>
      <w:r>
        <w:rPr>
          <w:rFonts w:hint="eastAsia" w:ascii="Times New Roman" w:hAnsi="宋体"/>
          <w:sz w:val="24"/>
          <w:szCs w:val="24"/>
        </w:rPr>
        <w:t>12-08）</w:t>
      </w:r>
    </w:p>
    <w:p>
      <w:pPr>
        <w:adjustRightInd w:val="0"/>
        <w:spacing w:line="440" w:lineRule="exact"/>
        <w:ind w:firstLine="200"/>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center"/>
        <w:rPr>
          <w:rFonts w:ascii="楷体_GB2312" w:hAnsi="宋体" w:eastAsia="楷体_GB2312"/>
          <w:b/>
          <w:bCs/>
          <w:sz w:val="36"/>
          <w:szCs w:val="36"/>
        </w:rPr>
      </w:pPr>
    </w:p>
    <w:p>
      <w:pPr>
        <w:spacing w:line="440" w:lineRule="exact"/>
        <w:jc w:val="center"/>
        <w:rPr>
          <w:rFonts w:ascii="楷体_GB2312" w:hAnsi="宋体" w:eastAsia="楷体_GB2312"/>
          <w:b/>
          <w:bCs/>
          <w:sz w:val="36"/>
          <w:szCs w:val="36"/>
        </w:rPr>
      </w:pPr>
    </w:p>
    <w:p>
      <w:pPr>
        <w:spacing w:line="440" w:lineRule="exact"/>
        <w:jc w:val="center"/>
        <w:rPr>
          <w:rFonts w:ascii="楷体_GB2312" w:hAnsi="宋体" w:eastAsia="楷体_GB2312"/>
          <w:b/>
          <w:bCs/>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借CPTPP“东风”</w:t>
      </w:r>
    </w:p>
    <w:p>
      <w:pPr>
        <w:spacing w:line="500" w:lineRule="exact"/>
        <w:jc w:val="center"/>
        <w:rPr>
          <w:rFonts w:ascii="华文细黑" w:hAnsi="华文细黑" w:eastAsia="华文细黑"/>
          <w:sz w:val="28"/>
          <w:szCs w:val="28"/>
        </w:rPr>
      </w:pPr>
      <w:r>
        <w:rPr>
          <w:rFonts w:hint="eastAsia" w:ascii="华文细黑" w:hAnsi="华文细黑" w:eastAsia="华文细黑"/>
          <w:sz w:val="28"/>
          <w:szCs w:val="28"/>
        </w:rPr>
        <w:t>机电企业打造国际竞争新优势</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中国正式申请加入CPTPP，将给机电企业提供更为广阔的发展机遇，中国机电行业对外贸易及对外投资合作类企业要深入了解CPTPP关键条款对企业合规体系建设的重要影响，谋划好应对措施，从而更好地“走出去”，把握住CPTPP带来的发展机遇。</w:t>
      </w:r>
    </w:p>
    <w:p>
      <w:pPr>
        <w:spacing w:line="440" w:lineRule="exact"/>
        <w:ind w:firstLine="480" w:firstLineChars="200"/>
        <w:rPr>
          <w:rFonts w:ascii="Times New Roman" w:hAnsi="宋体"/>
          <w:sz w:val="24"/>
          <w:szCs w:val="24"/>
        </w:rPr>
      </w:pPr>
      <w:r>
        <w:rPr>
          <w:rFonts w:hint="eastAsia" w:ascii="Times New Roman" w:hAnsi="宋体"/>
          <w:sz w:val="24"/>
          <w:szCs w:val="24"/>
        </w:rPr>
        <w:t>“对于机电产业而言，加入CPTPP有助于深化区域机电产业链、供应链合作。”中国机电产品进出口商会副会长兼专家委员会主任委员郑超表示，通过CPTPP，各成员国间货物、服务、投资等领域市场准入将进一步放宽，海关程序、技术标准等逐步统一，将促进域内经济要素自由流动，强化成员间生产分工合作，拉动区域内机电市场扩容升级，推动区域内产业链、供应链和价值链进一步发展。</w:t>
      </w:r>
    </w:p>
    <w:p>
      <w:pPr>
        <w:spacing w:line="440" w:lineRule="exact"/>
        <w:ind w:firstLine="480" w:firstLineChars="200"/>
        <w:rPr>
          <w:rFonts w:ascii="Times New Roman" w:hAnsi="宋体"/>
          <w:sz w:val="24"/>
          <w:szCs w:val="24"/>
        </w:rPr>
      </w:pPr>
      <w:r>
        <w:rPr>
          <w:rFonts w:hint="eastAsia" w:ascii="Times New Roman" w:hAnsi="宋体"/>
          <w:sz w:val="24"/>
          <w:szCs w:val="24"/>
        </w:rPr>
        <w:t>鼓励中国机电企业“走出去”是实现全面开放、更高水平开放的应有之义，也意味着要在全球竞争中提高中国机电产业的水准和防控风险能力，并在推进“一带一路”建设的过程中打造中国机电企业的国际品牌和全球影响力。“过去，中国通过承接出口导向型的外商投资，把外来投资者在技术、管理、资金和国际销售渠道等方面的优势与中国的低成本优势相结合，有力地促进了中国机电产品扩大出口。”郑超认为，未来，中国机电企业也需要通过对外投资更好地整合全球技术资源与市场资源，打造中资跨国公司，增强企业创新能力，提升国际市场开拓能力，推动中国机电产品和服务出口，从而形成国际合作和竞争新优势。</w:t>
      </w:r>
    </w:p>
    <w:p>
      <w:pPr>
        <w:spacing w:line="440" w:lineRule="exact"/>
        <w:ind w:firstLine="480" w:firstLineChars="200"/>
        <w:rPr>
          <w:rFonts w:ascii="Times New Roman" w:hAnsi="宋体"/>
          <w:sz w:val="24"/>
          <w:szCs w:val="24"/>
        </w:rPr>
      </w:pPr>
      <w:r>
        <w:rPr>
          <w:rFonts w:hint="eastAsia" w:ascii="Times New Roman" w:hAnsi="宋体"/>
          <w:sz w:val="24"/>
          <w:szCs w:val="24"/>
        </w:rPr>
        <w:t>与RCEP相比，CPTPP的成员国多数为发达国家经济体。“中国参与到这个协议中来，能够有助于我们的产业链实现向中高端攀升，进一步打通一些重要产业链和价值链的堵点和断点。”郑超表示。</w:t>
      </w:r>
    </w:p>
    <w:p>
      <w:pPr>
        <w:spacing w:line="440" w:lineRule="exact"/>
        <w:ind w:firstLine="480" w:firstLineChars="200"/>
        <w:rPr>
          <w:rFonts w:ascii="Times New Roman" w:hAnsi="宋体"/>
          <w:sz w:val="24"/>
          <w:szCs w:val="24"/>
        </w:rPr>
      </w:pPr>
      <w:r>
        <w:rPr>
          <w:rFonts w:hint="eastAsia" w:ascii="Times New Roman" w:hAnsi="宋体"/>
          <w:sz w:val="24"/>
          <w:szCs w:val="24"/>
        </w:rPr>
        <w:t>乘着中国申请加入CPTPP的“东风”，打造机电企业国际竞争新优势是一项系统工程，需要做好顶层设计，把握战略重点，加快对CPTPP规则的深入研究。同时，这也是一项需要持之以恒扎实推进的工作，应系统谋划、综合施策。对此，郑超认为，中国机电行业对外贸易及对外投资合作类企业在中国申请加入CPTPP过程中，应识别风险、抢抓机遇、应对挑战。企业有必要以国际最新经贸规则为指导、规范自身的生产经营活动，在对外贸易、境外投资、境外日常经营等活动中加强合规管理流程设计，全面识别合规要求，确保经营活动全流程、全方位合规。</w:t>
      </w:r>
    </w:p>
    <w:p>
      <w:pPr>
        <w:spacing w:line="440" w:lineRule="exact"/>
        <w:ind w:firstLine="480" w:firstLineChars="200"/>
        <w:rPr>
          <w:rFonts w:ascii="Times New Roman" w:hAnsi="宋体"/>
          <w:sz w:val="24"/>
          <w:szCs w:val="24"/>
        </w:rPr>
      </w:pPr>
      <w:r>
        <w:rPr>
          <w:rFonts w:hint="eastAsia" w:ascii="Times New Roman" w:hAnsi="宋体"/>
          <w:sz w:val="24"/>
          <w:szCs w:val="24"/>
        </w:rPr>
        <w:t>知晓当地法律是企业“走出去”合法经营的前提，投资地法律研究已经成为保障企业合法经营的重要方面。一些企业“出海”的热情高、意愿强，但法律意识较为薄弱，在不了解当地法律法规的情况下贸然对外投资，形成较大法律风险。“知法方能守法。投资前深入研究CPTPP规则已然成为企业运用法治方式和法治思维在成员国开展生产经营活动的前置性工作。”郑超表示。</w:t>
      </w:r>
    </w:p>
    <w:p>
      <w:pPr>
        <w:spacing w:line="440" w:lineRule="exact"/>
        <w:ind w:firstLine="480" w:firstLineChars="200"/>
        <w:rPr>
          <w:rFonts w:ascii="Times New Roman" w:hAnsi="宋体"/>
          <w:sz w:val="24"/>
          <w:szCs w:val="24"/>
        </w:rPr>
      </w:pPr>
      <w:r>
        <w:rPr>
          <w:rFonts w:hint="eastAsia" w:ascii="Times New Roman" w:hAnsi="宋体"/>
          <w:sz w:val="24"/>
          <w:szCs w:val="24"/>
        </w:rPr>
        <w:t>合规是企业“走出去”行稳致远的根本，合规经营管理已然成为评判企业国际竞争力的重要方面。郑超指出，机电企业在“走出去”过程中，需要面对外国投资的政策和法律差别很大，这些国家在知识产权、数据传输、环境保护、劳工权益以及行业限制等方面的规定差异很大，相关国际规则还经常因外部经济、国内政治环境的变化而不断调整。与此同时，少数国内企业合规经营意识不强，在“走出去”的过程中合规管理能力相对薄弱、水平有待提高，例如对涉外法律法规了解不充分、违规处罚后才开展合规等，致使境外生产经营活动受阻，这一情况需要得到重视。</w:t>
      </w:r>
    </w:p>
    <w:p>
      <w:pPr>
        <w:spacing w:line="440" w:lineRule="exact"/>
        <w:ind w:firstLine="480" w:firstLineChars="200"/>
        <w:rPr>
          <w:rFonts w:ascii="Times New Roman" w:hAnsi="宋体"/>
          <w:sz w:val="24"/>
          <w:szCs w:val="24"/>
        </w:rPr>
      </w:pPr>
      <w:r>
        <w:rPr>
          <w:rFonts w:hint="eastAsia" w:ascii="Times New Roman" w:hAnsi="宋体"/>
          <w:sz w:val="24"/>
          <w:szCs w:val="24"/>
        </w:rPr>
        <w:t>充分发挥涉外法治人才的专业优势是企业实施国际化战略进而有为的基础，这将有助于降低企业在当地经营的法律风险。郑超认为，面对跨境争议，利用知名事务所等专业法治力量，根据CPTPP等国际规则和协议，客观阐述、正面宣传、正视问题、回应质疑，增强企业规则意识与维权能力，提升中国在全球机电产业中的地位和话语权，推动机电企业的全球经营的现代化、规范化和国际化。</w:t>
      </w:r>
    </w:p>
    <w:p>
      <w:pPr>
        <w:spacing w:line="440" w:lineRule="exact"/>
        <w:ind w:firstLine="480" w:firstLineChars="200"/>
        <w:rPr>
          <w:rFonts w:ascii="Times New Roman" w:hAnsi="宋体"/>
          <w:sz w:val="24"/>
          <w:szCs w:val="24"/>
        </w:rPr>
      </w:pPr>
      <w:r>
        <w:rPr>
          <w:rFonts w:hint="eastAsia" w:ascii="Times New Roman" w:hAnsi="宋体"/>
          <w:sz w:val="24"/>
          <w:szCs w:val="24"/>
        </w:rPr>
        <w:t>面对新发展形势，机电商会积极推动自身服务改革、努力提升服务能力，提出了搭建国际产业合作机制和成立专家委员会等思路举措。郑超表示：“未来机电商会专家委员会将继续以‘行业高端智库、企业服务之家、产业合作平台’的职能定位，围绕企业需求提供更加具有针对性的、专业化的培训，为中国企业更好地‘走出去’、开展合规经营提供优质服务。”（国际商报12-09）</w:t>
      </w:r>
    </w:p>
    <w:p>
      <w:pPr>
        <w:pStyle w:val="3"/>
        <w:shd w:val="clear" w:color="auto" w:fill="FFFFFF"/>
        <w:spacing w:before="0" w:after="0" w:line="440" w:lineRule="exact"/>
        <w:ind w:firstLine="663" w:firstLineChars="200"/>
        <w:rPr>
          <w:rStyle w:val="14"/>
          <w:b/>
          <w:bCs/>
          <w:color w:val="000000"/>
          <w:sz w:val="33"/>
          <w:szCs w:val="33"/>
        </w:rPr>
        <w:sectPr>
          <w:type w:val="continuous"/>
          <w:pgSz w:w="11906" w:h="16838"/>
          <w:pgMar w:top="1440" w:right="1800" w:bottom="1440" w:left="1800" w:header="851" w:footer="992" w:gutter="0"/>
          <w:cols w:space="425" w:num="2"/>
          <w:docGrid w:type="lines" w:linePitch="312" w:charSpace="0"/>
        </w:sectPr>
      </w:pPr>
    </w:p>
    <w:p>
      <w:pPr>
        <w:pStyle w:val="3"/>
        <w:shd w:val="clear" w:color="auto" w:fill="FFFFFF"/>
        <w:spacing w:before="0" w:after="0" w:line="440" w:lineRule="exact"/>
        <w:ind w:firstLine="663" w:firstLineChars="200"/>
        <w:rPr>
          <w:rStyle w:val="14"/>
          <w:b/>
          <w:bCs/>
          <w:color w:val="000000"/>
          <w:sz w:val="33"/>
          <w:szCs w:val="33"/>
        </w:rPr>
      </w:pPr>
    </w:p>
    <w:p>
      <w:pPr>
        <w:spacing w:line="440" w:lineRule="exact"/>
        <w:ind w:firstLine="200"/>
      </w:pPr>
    </w:p>
    <w:p>
      <w:pPr>
        <w:spacing w:line="440" w:lineRule="exact"/>
        <w:ind w:firstLine="200"/>
      </w:pPr>
    </w:p>
    <w:p>
      <w:pPr>
        <w:sectPr>
          <w:type w:val="continuous"/>
          <w:pgSz w:w="11906" w:h="16838"/>
          <w:pgMar w:top="1440" w:right="1800" w:bottom="1440" w:left="1800" w:header="851" w:footer="992" w:gutter="0"/>
          <w:cols w:space="425" w:num="1"/>
          <w:docGrid w:type="lines" w:linePitch="312" w:charSpace="0"/>
        </w:sectPr>
      </w:pPr>
    </w:p>
    <w:p>
      <w:pPr>
        <w:adjustRightInd w:val="0"/>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跨境电商品牌出海可持续增长待破题</w:t>
      </w:r>
    </w:p>
    <w:p>
      <w:pPr>
        <w:pStyle w:val="12"/>
        <w:shd w:val="clear" w:color="auto" w:fill="FFFFFF"/>
        <w:spacing w:beforeAutospacing="0" w:afterAutospacing="0" w:line="440" w:lineRule="exact"/>
        <w:ind w:firstLine="460" w:firstLineChars="200"/>
        <w:jc w:val="both"/>
        <w:rPr>
          <w:color w:val="000000"/>
          <w:sz w:val="23"/>
          <w:szCs w:val="23"/>
        </w:rPr>
      </w:pPr>
    </w:p>
    <w:p>
      <w:pPr>
        <w:pStyle w:val="12"/>
        <w:shd w:val="clear" w:color="auto" w:fill="FFFFFF"/>
        <w:spacing w:beforeAutospacing="0" w:afterAutospacing="0" w:line="440" w:lineRule="exact"/>
        <w:ind w:firstLine="460" w:firstLineChars="200"/>
        <w:jc w:val="both"/>
        <w:rPr>
          <w:color w:val="000000"/>
          <w:sz w:val="23"/>
          <w:szCs w:val="23"/>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无论是逆势增长的交易额，还是持续涌入的企业和资本，都在绘就中国跨境电商零售出口市场更具活力的新图景。跨境电商独立站的崛起也为品牌培育提供了丰沃土壤。然而，跨境电商品牌出海并非一帆风顺，在各方挑战下如何实现可持续增长是行业亟待突破的瓶颈。</w:t>
      </w:r>
    </w:p>
    <w:p>
      <w:pPr>
        <w:spacing w:line="440" w:lineRule="exact"/>
        <w:ind w:firstLine="482" w:firstLineChars="200"/>
        <w:rPr>
          <w:rFonts w:ascii="Times New Roman" w:hAnsi="宋体"/>
          <w:b/>
          <w:sz w:val="24"/>
          <w:szCs w:val="24"/>
        </w:rPr>
      </w:pPr>
      <w:r>
        <w:rPr>
          <w:rFonts w:hint="eastAsia" w:ascii="Times New Roman" w:hAnsi="宋体"/>
          <w:b/>
          <w:sz w:val="24"/>
          <w:szCs w:val="24"/>
        </w:rPr>
        <w:t>挑战有哪些？</w:t>
      </w:r>
    </w:p>
    <w:p>
      <w:pPr>
        <w:spacing w:line="440" w:lineRule="exact"/>
        <w:ind w:firstLine="480" w:firstLineChars="200"/>
        <w:rPr>
          <w:rFonts w:ascii="Times New Roman" w:hAnsi="宋体"/>
          <w:sz w:val="24"/>
          <w:szCs w:val="24"/>
        </w:rPr>
      </w:pPr>
      <w:r>
        <w:rPr>
          <w:rFonts w:hint="eastAsia" w:ascii="Times New Roman" w:hAnsi="宋体"/>
          <w:sz w:val="24"/>
          <w:szCs w:val="24"/>
        </w:rPr>
        <w:t>当前，零售出口市场的品牌出海特征愈发明显，跨境电商品牌化和品牌跨境电商化的趋势均在演进。亿邦动力观察到，在跨境品牌化方面，诸多跨境电商卖家的经营发展开始由铺货转向精品模式，提倡品牌化发展，更注重对品牌打造的研究。在品牌跨境电商化方面，不少国内品牌积极借助跨境电商布局海外市场，如林氏木业、喜临门、以纯等国内传统品牌，以及花西子、完美日记、三顿半等新消费品牌纷纷入局跨境电商拓展海外业务。</w:t>
      </w:r>
    </w:p>
    <w:p>
      <w:pPr>
        <w:spacing w:line="440" w:lineRule="exact"/>
        <w:ind w:firstLine="480" w:firstLineChars="200"/>
        <w:rPr>
          <w:rFonts w:ascii="Times New Roman" w:hAnsi="宋体"/>
          <w:sz w:val="24"/>
          <w:szCs w:val="24"/>
        </w:rPr>
      </w:pPr>
      <w:r>
        <w:rPr>
          <w:rFonts w:hint="eastAsia" w:ascii="Times New Roman" w:hAnsi="宋体"/>
          <w:sz w:val="24"/>
          <w:szCs w:val="24"/>
        </w:rPr>
        <w:t>与此同时，跨境电商零售出口面临的低利润周期、流量瓶颈、中间地带断层等挑战也使得行业的品牌出海之路充满荆棘。</w:t>
      </w:r>
    </w:p>
    <w:p>
      <w:pPr>
        <w:spacing w:line="440" w:lineRule="exact"/>
        <w:ind w:firstLine="480" w:firstLineChars="200"/>
        <w:rPr>
          <w:rFonts w:ascii="Times New Roman" w:hAnsi="宋体"/>
          <w:sz w:val="24"/>
          <w:szCs w:val="24"/>
        </w:rPr>
      </w:pPr>
      <w:r>
        <w:rPr>
          <w:rFonts w:hint="eastAsia" w:ascii="Times New Roman" w:hAnsi="宋体"/>
          <w:sz w:val="24"/>
          <w:szCs w:val="24"/>
        </w:rPr>
        <w:t>当前，“整个行业似乎陷入了低利润周期。”亿邦动力跨境电商主编何洋日前在独立站实践者大会上指出，在主要的跨境电商平台主打低价策略攻城略地的同时，跨境电商卖家的利润也在承受重压。企业的第三季度财报显示，安克创新Q3营收同比增长22.63%，净利润同比下降7.4%；乐歌Q3营收上涨19.97%，净利润同比下降50%。两家企业均在财报中提及，原材料成本上涨、海运运费增加、广告投入增多等是利润被拖累的主要原因。遭亚马逊封号的泽宝、有棵树的Q3营收和利润则均现下滑，平台政策调整及公司业务转型等是财报中提及的亏损原因。</w:t>
      </w:r>
    </w:p>
    <w:p>
      <w:pPr>
        <w:spacing w:line="440" w:lineRule="exact"/>
        <w:ind w:firstLine="480" w:firstLineChars="200"/>
        <w:rPr>
          <w:rFonts w:ascii="Times New Roman" w:hAnsi="宋体"/>
          <w:sz w:val="24"/>
          <w:szCs w:val="24"/>
        </w:rPr>
      </w:pPr>
      <w:r>
        <w:rPr>
          <w:rFonts w:hint="eastAsia" w:ascii="Times New Roman" w:hAnsi="宋体"/>
          <w:sz w:val="24"/>
          <w:szCs w:val="24"/>
        </w:rPr>
        <w:t>在流量层面，平台流量供给不足、站内广告回报率下降、社交媒体广告成本明显上涨、iOS隐私新政影响社交媒体广告的精准投放……当流量红利褪去，跨境电商卖家必须用更高的消费者价值对冲不断上涨的成本。</w:t>
      </w:r>
    </w:p>
    <w:p>
      <w:pPr>
        <w:spacing w:line="440" w:lineRule="exact"/>
        <w:ind w:firstLine="480" w:firstLineChars="200"/>
        <w:rPr>
          <w:rFonts w:ascii="Times New Roman" w:hAnsi="宋体"/>
          <w:sz w:val="24"/>
          <w:szCs w:val="24"/>
        </w:rPr>
      </w:pPr>
      <w:r>
        <w:rPr>
          <w:rFonts w:hint="eastAsia" w:ascii="Times New Roman" w:hAnsi="宋体"/>
          <w:sz w:val="24"/>
          <w:szCs w:val="24"/>
        </w:rPr>
        <w:t>何洋分析指出，在独立站生态，只有SHEIN一家能做到年营收100亿美元的规模，第二梯队的营收大多在数亿美元；在平台生态，如亚马逊美国站200万个卖家中，年销售额超过100万美元的有5500个，年销售额超过10万美元的约6.5万个，更多卖家的年销售额在10万美元以下，中间地带存在明显断层。</w:t>
      </w:r>
    </w:p>
    <w:p>
      <w:pPr>
        <w:spacing w:line="440" w:lineRule="exact"/>
        <w:ind w:firstLine="480" w:firstLineChars="200"/>
        <w:rPr>
          <w:rFonts w:ascii="Times New Roman" w:hAnsi="宋体"/>
          <w:sz w:val="24"/>
          <w:szCs w:val="24"/>
        </w:rPr>
      </w:pPr>
      <w:r>
        <w:rPr>
          <w:rFonts w:hint="eastAsia" w:ascii="Times New Roman" w:hAnsi="宋体"/>
          <w:sz w:val="24"/>
          <w:szCs w:val="24"/>
        </w:rPr>
        <w:t>此外，来自美国电商研究和数据分析机构Marketplace Pulse的数据显示，以耳机类目为例，亚马逊畅销榜Top100在过去两年共出现过600多个品牌的逾1800种产品，几乎每天都有“品牌”产品的新旧更替，只有苹果、三星、索尼、Soundcore（安克创新旗下品牌）、Tozo（深圳前海沃尔科技旗下耳机品牌）这5个品牌长青。这说明大量所谓的“品牌”只是商标，大部分商家都在同质化的产品中内卷。</w:t>
      </w:r>
    </w:p>
    <w:p>
      <w:pPr>
        <w:spacing w:line="440" w:lineRule="exact"/>
        <w:ind w:firstLine="482" w:firstLineChars="200"/>
        <w:rPr>
          <w:rFonts w:ascii="Times New Roman" w:hAnsi="宋体"/>
          <w:b/>
          <w:sz w:val="24"/>
          <w:szCs w:val="24"/>
        </w:rPr>
      </w:pPr>
      <w:r>
        <w:rPr>
          <w:rFonts w:hint="eastAsia" w:ascii="Times New Roman" w:hAnsi="宋体"/>
          <w:b/>
          <w:sz w:val="24"/>
          <w:szCs w:val="24"/>
        </w:rPr>
        <w:t>路径在哪里？</w:t>
      </w:r>
    </w:p>
    <w:p>
      <w:pPr>
        <w:spacing w:line="440" w:lineRule="exact"/>
        <w:ind w:firstLine="480" w:firstLineChars="200"/>
        <w:rPr>
          <w:rFonts w:ascii="Times New Roman" w:hAnsi="宋体"/>
          <w:sz w:val="24"/>
          <w:szCs w:val="24"/>
        </w:rPr>
      </w:pPr>
      <w:r>
        <w:rPr>
          <w:rFonts w:hint="eastAsia" w:ascii="Times New Roman" w:hAnsi="宋体"/>
          <w:sz w:val="24"/>
          <w:szCs w:val="24"/>
        </w:rPr>
        <w:t>品牌出海可持续增长的路径是什么？</w:t>
      </w:r>
    </w:p>
    <w:p>
      <w:pPr>
        <w:spacing w:line="440" w:lineRule="exact"/>
        <w:ind w:firstLine="480" w:firstLineChars="200"/>
        <w:rPr>
          <w:rFonts w:ascii="Times New Roman" w:hAnsi="宋体"/>
          <w:sz w:val="24"/>
          <w:szCs w:val="24"/>
        </w:rPr>
      </w:pPr>
      <w:r>
        <w:rPr>
          <w:rFonts w:hint="eastAsia" w:ascii="Times New Roman" w:hAnsi="宋体"/>
          <w:sz w:val="24"/>
          <w:szCs w:val="24"/>
        </w:rPr>
        <w:t>亿邦动力结合行业观察提醒，过度追逐品类红利，没有真正的产品能力、过度依赖运营手段，没有品牌思维、过度透支用户等，都是不可持续的发展方式。而产品层面的人无我有，营销端走品牌思维而不是流量思维，运营端坚持精细化、本土化等都是不少成功案例的共同特征。</w:t>
      </w:r>
    </w:p>
    <w:p>
      <w:pPr>
        <w:spacing w:line="440" w:lineRule="exact"/>
        <w:ind w:firstLine="480" w:firstLineChars="200"/>
        <w:rPr>
          <w:rFonts w:ascii="Times New Roman" w:hAnsi="宋体"/>
          <w:sz w:val="24"/>
          <w:szCs w:val="24"/>
        </w:rPr>
      </w:pPr>
      <w:r>
        <w:rPr>
          <w:rFonts w:hint="eastAsia" w:ascii="Times New Roman" w:hAnsi="宋体"/>
          <w:sz w:val="24"/>
          <w:szCs w:val="24"/>
        </w:rPr>
        <w:t>何洋表示，以Shopify为代表的独立站热潮以及TikTok等新流量平台崛起带来的巨头竞争格局的变化或催生结构性红利。同时，在后疫情时代，宠物类、户外家具、家庭健身、移动储能电源等品类需求猛增，自热火锅、洗地机等新品类不断涌现，成熟品类也可借助功能创新等持续升级，这些机会都值得出海商家关注。而回顾跨境电商的发展历程，新渠道叠加新品类往往能孕育新品牌，当年安克创新的诞生恰逢亚马逊快速崛起的渠道推动，以及2010年前后智能终端普及带动的数码配件品类新机会。（国际商报12-09）</w:t>
      </w:r>
    </w:p>
    <w:p>
      <w:pPr>
        <w:adjustRightInd w:val="0"/>
        <w:spacing w:line="440" w:lineRule="exact"/>
        <w:jc w:val="left"/>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eastAsia="华文彩云"/>
          <w:sz w:val="36"/>
          <w:szCs w:val="36"/>
        </w:rPr>
        <w:sectPr>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hAnsi="宋体" w:eastAsia="华文彩云"/>
          <w:b/>
          <w:sz w:val="36"/>
          <w:szCs w:val="36"/>
        </w:rPr>
        <w:t>预警信息</w:t>
      </w:r>
    </w:p>
    <w:p>
      <w:pPr>
        <w:spacing w:line="440" w:lineRule="exact"/>
        <w:jc w:val="left"/>
        <w:rPr>
          <w:rFonts w:ascii="Times New Roman" w:hAnsi="Times New Roman"/>
          <w:sz w:val="24"/>
          <w:szCs w:val="24"/>
        </w:rPr>
      </w:pPr>
    </w:p>
    <w:p>
      <w:pPr>
        <w:spacing w:line="440" w:lineRule="exact"/>
        <w:jc w:val="left"/>
        <w:rPr>
          <w:rFonts w:ascii="Times New Roman" w:hAnsi="Times New Roman"/>
          <w:sz w:val="24"/>
          <w:szCs w:val="24"/>
        </w:rPr>
      </w:pPr>
    </w:p>
    <w:p>
      <w:pPr>
        <w:adjustRightInd w:val="0"/>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中国将调整部分商品进出口关税</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据新华社电经国务院批准，国务院关税税则委员会12月15日对外发布通知，2022年1月1日起，中国将对954项商品实施低于最惠国税率的进口暂定税率，同时将提高部分商品进出口关税。2022年，中国将对原产于29个国家或地区的部分商品实施协定税率。其中，区域全面经济伙伴关系协定、中国-柬埔寨自贸协定自2022年1月1日起生效并实施降税。此外，2022年继续对与中国建交并完成换文手续的最不发达国家实施特惠税率。（国际商报12-16）</w:t>
      </w: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widowControl/>
        <w:shd w:val="clear" w:color="auto" w:fill="FFFFFF"/>
        <w:jc w:val="center"/>
        <w:rPr>
          <w:rFonts w:ascii="楷体_GB2312" w:hAnsi="宋体" w:eastAsia="楷体_GB2312"/>
          <w:b/>
          <w:bCs/>
          <w:sz w:val="36"/>
          <w:szCs w:val="36"/>
        </w:rPr>
      </w:pPr>
      <w:r>
        <w:rPr>
          <w:rFonts w:hint="eastAsia" w:ascii="楷体_GB2312" w:hAnsi="宋体" w:eastAsia="楷体_GB2312"/>
          <w:b/>
          <w:bCs/>
          <w:sz w:val="36"/>
          <w:szCs w:val="36"/>
        </w:rPr>
        <w:t>2022年1月 这些法规标准即将实施</w:t>
      </w:r>
    </w:p>
    <w:p>
      <w:pPr>
        <w:widowControl/>
        <w:shd w:val="clear" w:color="auto" w:fill="FFFFFF"/>
        <w:spacing w:line="440" w:lineRule="exact"/>
        <w:ind w:firstLine="482" w:firstLineChars="200"/>
        <w:rPr>
          <w:rFonts w:ascii="Times New Roman" w:hAnsi="Times New Roman"/>
          <w:b/>
          <w:sz w:val="24"/>
          <w:szCs w:val="24"/>
        </w:rPr>
      </w:pPr>
    </w:p>
    <w:p>
      <w:pPr>
        <w:widowControl/>
        <w:shd w:val="clear" w:color="auto" w:fill="FFFFFF"/>
        <w:spacing w:line="440" w:lineRule="exact"/>
        <w:ind w:firstLine="482" w:firstLineChars="200"/>
        <w:rPr>
          <w:rFonts w:ascii="Times New Roman" w:hAnsi="Times New Roman"/>
          <w:b/>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2" w:firstLineChars="200"/>
        <w:rPr>
          <w:rFonts w:ascii="Times New Roman" w:hAnsi="Times New Roman"/>
          <w:b/>
          <w:sz w:val="24"/>
          <w:szCs w:val="24"/>
        </w:rPr>
      </w:pPr>
      <w:r>
        <w:rPr>
          <w:rFonts w:hint="eastAsia" w:ascii="Times New Roman" w:hAnsi="Times New Roman"/>
          <w:b/>
          <w:sz w:val="24"/>
          <w:szCs w:val="24"/>
        </w:rPr>
        <w:t>1、欧盟新电池法规解读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2020年12月10日，欧盟委员会对外公布了新电池法规的完整内容，引发国内外新能源电池产业链以及电池生产企业的广泛关注。新公布的欧盟电池法规由十三个章节、七十九项条款及十四个附录构成。新法规于2022年1月1号生效后，2006年出台的欧洲电池指令将被废止。</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新法规将电池分为四类：(1)便携式电池；(2)车用电池；(3)工业用电池；(4)电动汽车用动力蓄电池。</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新法规中提出的新要求主要有：</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(1)基于REACH的实施经验，提出了有毒有害物质的定义，并引入了新的有毒有害物质限制要求；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(2)针对电动汽车用动力蓄电池和可充电工业电池提出了碳足迹的要求，该部分要求将分阶段实施：首先是要求信息披露，然后进行分级，最后设定强制性限值；</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(3)针对工业电池、电动汽车用动力蓄电池和汽车电池中提出了再生料成份的要求，该部分要求将分阶段实施：首先制定计算规则，接着要求自我宣告，最后提出最低再生料成分比例的强制性要求；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(4)针对可充电的工业电池和电动汽车用动力蓄电池，在性能和耐用性方面提出信息披露要求；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(5)针对可充电的工业电池和电动汽车用动力蓄电池的制造商、进口商或分销商提出了供应链尽职调查义务方面的要求；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(6)强化了现有生产者延伸责任的要求；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(7)提出了对报废电池回收效率和材料回收水平的要求；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(8)针对工业电池和电动汽车用动力蓄电池提出了再利用和再制造方面的要求；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(9)决定在2026 年1月1日前推出电池全生命周期信息追溯平台，并提出了电池生命周期信息可溯源方面的要求。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新法规的突出特点解读：</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新法规的一个突出特点是要求涵盖电池整个生命周期的各个阶段：从电池原材料的生产加工，到电池产品的使用过程，再到退役及报废电池的回收利用。</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另外，欧盟新版《循环经济行动计划》已把电池和新能源汽车列入重点发展循环经济的七条价值链之一。为此，新法规也将提升电池价值链的循环性作为一项核心议题：法规提出了一系列要求以推动退役电池二次利用的市场化及规模化运作；法规还提出了关于报废电池的材料（如：钴、铜、锂、镍和铅）回收利用效率的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新法规中不同要求的实施强度不一，有的要求是提出信息披露义务，也有的要求是提出了具体限值。很多新要求（如：碳足迹及再生料成份比例要求）走的是分阶段的实施路径，这也为电池价值链相关方应对这场欧洲市场准入的新大考提供了宝贵的准备时间。</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针对《欧洲电池新法》中提出的新要求，说明企业需要在产品开发、原材料采购及供应链管理等各个方面及时采取行动，制定并实施中长期的应对方案。</w:t>
      </w:r>
    </w:p>
    <w:p>
      <w:pPr>
        <w:widowControl/>
        <w:shd w:val="clear" w:color="auto" w:fill="FFFFFF"/>
        <w:spacing w:line="440" w:lineRule="exact"/>
        <w:ind w:firstLine="482" w:firstLineChars="200"/>
        <w:rPr>
          <w:rFonts w:ascii="Times New Roman" w:hAnsi="Times New Roman"/>
          <w:b/>
          <w:sz w:val="24"/>
          <w:szCs w:val="24"/>
        </w:rPr>
      </w:pPr>
      <w:r>
        <w:rPr>
          <w:rFonts w:hint="eastAsia" w:ascii="Times New Roman" w:hAnsi="Times New Roman"/>
          <w:b/>
          <w:sz w:val="24"/>
          <w:szCs w:val="24"/>
        </w:rPr>
        <w:t>2.欧盟批准在REACH附录XVII第28、29、30项新增CMR物质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2021年12月14日，欧盟委员会发布了委员会法规(EU) 2021/2204，修订REACH法规(EC) No 1907/2006附录XVII的第28、29和30项对应的附件2、4和6，增加新的CMR物质。该修订将于2022年1月3日生效。</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根据REACH法规附录XVII第28、29和30项，禁止向市场投放和使用被归类为致癌、致生殖细胞基因突变或具有生殖毒性（CMR）的第1A类或第1B类、且被列入附录XVII的附件1至附件6的物质。且禁止向市场投放和使用含有此类物质超过规定浓度限值的混合物。</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欧盟REACH法规附录XVII附件2、4和6中分别增加新的物质。</w:t>
      </w:r>
    </w:p>
    <w:p>
      <w:pPr>
        <w:widowControl/>
        <w:shd w:val="clear" w:color="auto" w:fill="FFFFFF"/>
        <w:spacing w:line="440" w:lineRule="exact"/>
        <w:ind w:firstLine="482" w:firstLineChars="200"/>
        <w:rPr>
          <w:rFonts w:ascii="Times New Roman" w:hAnsi="Times New Roman"/>
          <w:b/>
          <w:sz w:val="24"/>
          <w:szCs w:val="24"/>
        </w:rPr>
      </w:pPr>
      <w:r>
        <w:rPr>
          <w:rFonts w:hint="eastAsia" w:ascii="Times New Roman" w:hAnsi="Times New Roman"/>
          <w:b/>
          <w:sz w:val="24"/>
          <w:szCs w:val="24"/>
        </w:rPr>
        <w:t>3.美国加州将于2022年开始实施化妆品香精香料知情权法案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2020年9月30日，美国加利福尼亚州州长批准第312号参议院法案（化妆品香精香料知情权法案），对《健康与安全法规》（Health and Safety Code）进行修订，新增化妆品有害香精香料披露的规定，自2022年1月1日起实施。</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化妆品香精香料知情权法案要求在加州销售的化妆品，其制造商必须向加州公共健康部提供产品含有的“指定香精香料清单”化学成分。“指定香精香料清单”由致癌、致变、生殖毒性、内分泌干扰物、神经毒性、生物累积性、呼吸致敏等物质清单构成，包括加州65致癌或生殖毒性化学物质，欧盟CLP法规附录VI中1A或1B类致癌物、致变物或生殖毒性物质等等。完整的清单名录位于法案SEC.3.第（2）部分Designated list定义处。</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除了“指定香精香料清单”成分，当化妆品中所含欧盟化妆品法规(EC) No. 1223/2009附录III中的香精过敏原浓度等于或高于0.01%（淋洗类化妆品）/0.001%（驻留类化妆品）时，制造商也需要进行通报披露这些物质。上述信息在递交同时，还需要提供对应成分的CAS号，以及化妆品的通用产品码UPC和化妆品是用于专业用途还是零售用途。为了保护商业机密，披露的香精香料无需公布重量或含量以及配方。</w:t>
      </w:r>
    </w:p>
    <w:p>
      <w:pPr>
        <w:widowControl/>
        <w:shd w:val="clear" w:color="auto" w:fill="FFFFFF"/>
        <w:spacing w:line="440" w:lineRule="exact"/>
        <w:ind w:firstLine="482" w:firstLineChars="200"/>
        <w:rPr>
          <w:rFonts w:ascii="Times New Roman" w:hAnsi="Times New Roman"/>
          <w:b/>
          <w:sz w:val="24"/>
          <w:szCs w:val="24"/>
        </w:rPr>
      </w:pPr>
      <w:r>
        <w:rPr>
          <w:rFonts w:hint="eastAsia" w:ascii="Times New Roman" w:hAnsi="Times New Roman"/>
          <w:b/>
          <w:sz w:val="24"/>
          <w:szCs w:val="24"/>
        </w:rPr>
        <w:t>4.澳大利亚修订出口管制法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2021年12月7日，澳大利亚联邦公报网站发布F2021L01730号公告，即《出口管制法》2021年第1号修订案。该修订涉及出口肉类及肉制品、植物及植物源性产品（包括食品）等产品，部分修订内容包括：</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(1)附表1《出口肉类及肉制品管制规定》修订了肉类及肉制品出口时的官方检验和装运监管要求，补充规定出口商申请出口许可证时应提供报关单证和产品符合目的国法律法规的声明，并且应保证相关材料的真实性；</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(2)附表2《出口植物和植物源性产品管制规定》进一步修订完善了出口产品的溯源管理要求，补充了出口生产企业加工过程管理要求，新增了主管机构对散货方式运输的出口植物源性产品的检查要求。</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该修订内容自2022年1月1日起实施。</w:t>
      </w:r>
    </w:p>
    <w:p>
      <w:pPr>
        <w:widowControl/>
        <w:shd w:val="clear" w:color="auto" w:fill="FFFFFF"/>
        <w:spacing w:line="440" w:lineRule="exact"/>
        <w:ind w:firstLine="482" w:firstLineChars="200"/>
        <w:rPr>
          <w:rFonts w:ascii="Times New Roman" w:hAnsi="Times New Roman"/>
          <w:b/>
          <w:sz w:val="24"/>
          <w:szCs w:val="24"/>
        </w:rPr>
      </w:pPr>
      <w:r>
        <w:rPr>
          <w:rFonts w:hint="eastAsia" w:ascii="Times New Roman" w:hAnsi="Times New Roman"/>
          <w:b/>
          <w:sz w:val="24"/>
          <w:szCs w:val="24"/>
        </w:rPr>
        <w:t>5.韩国发布化妆品新包装材料要求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2021年7月9日，韩国环境部发布了《分类排放标签相关指南》，将于2022年1月1日起开始生效。要点如下：</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(1)引入“不可回收”标签；</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(2)修改了回收标签上关于包材的文字表述；</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(3) 新增豁免“难以回收”标签的情况。</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早在2020年12月8日，韩国化妆品协会（KCA）和韩国包装回收合作社（KPRC）推出了“化妆品容器逆向回收计划”，该计划经批准后，可豁免“难以回收”标签。</w:t>
      </w:r>
    </w:p>
    <w:p>
      <w:pPr>
        <w:widowControl/>
        <w:shd w:val="clear" w:color="auto" w:fill="FFFFFF"/>
        <w:spacing w:line="440" w:lineRule="exact"/>
        <w:ind w:firstLine="482" w:firstLineChars="200"/>
        <w:rPr>
          <w:rFonts w:ascii="Times New Roman" w:hAnsi="Times New Roman"/>
          <w:b/>
          <w:sz w:val="24"/>
          <w:szCs w:val="24"/>
        </w:rPr>
      </w:pPr>
      <w:r>
        <w:rPr>
          <w:rFonts w:hint="eastAsia" w:ascii="Times New Roman" w:hAnsi="Times New Roman"/>
          <w:b/>
          <w:sz w:val="24"/>
          <w:szCs w:val="24"/>
        </w:rPr>
        <w:t>6.韩国修订儿童产品通用安全标准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2021年7月19日，韩国贸易、工业和能源部（MOTIE）发布了第2021-132号通告，修订儿童产品通用安全标准中邻苯二甲酸酯的要求，新增邻苯二甲酸二异丁酯（DIBP），其邻苯二甲酸酯的限制数量由6项增至7项。该修正案将于2022年1月1日起生效。</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儿童产品通用安全标准适用于正常使用情景下供13岁以下儿童使用的产品中的可接触材料/组件，但不包括药品、医疗器械、化妆品、食品接触材料和制品以及娱乐设施和设备。</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修订后的邻苯要求如下：</w:t>
      </w:r>
    </w:p>
    <w:p>
      <w:pPr>
        <w:widowControl/>
        <w:shd w:val="clear" w:color="auto" w:fill="FFFFFF"/>
        <w:spacing w:line="440" w:lineRule="exact"/>
        <w:ind w:firstLine="482" w:firstLineChars="200"/>
        <w:rPr>
          <w:rFonts w:ascii="Times New Roman" w:hAnsi="Times New Roman"/>
          <w:b/>
          <w:sz w:val="24"/>
          <w:szCs w:val="24"/>
        </w:rPr>
      </w:pPr>
      <w:r>
        <w:rPr>
          <w:rFonts w:hint="eastAsia" w:ascii="Times New Roman" w:hAnsi="Times New Roman"/>
          <w:b/>
          <w:sz w:val="24"/>
          <w:szCs w:val="24"/>
        </w:rPr>
        <w:t>7.马来西亚发布对无线媒体播放器和机顶盒的附加要求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2021年6月23日，马来西亚通信和多媒体委员会（MCMC）决定从2022年1月1日起对无线媒体播放器（WMP）和机顶盒（STB）的认证和进口提出额外的要求。同时，对WMP/STB类别下的所有设备认证新申请的临时冻结将仍然有效，直至新要求实施为止。</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新要求适用于所有符合下列标准的WMP/STB设备：</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(1)设计用于连接电视并通过Wi-Fi连接设置到互联网的设备；</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(2)在安卓等开源操作系统上运行的设备；</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(3)使电视可用于浏览互联网，从在线源流式传输视频内容的设备；</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(4)面向消费者市场（不包括数字标牌/广告或类似应用程序的WMP/STB设备）。</w:t>
      </w:r>
    </w:p>
    <w:p>
      <w:pPr>
        <w:widowControl/>
        <w:shd w:val="clear" w:color="auto" w:fill="FFFFFF"/>
        <w:spacing w:line="440" w:lineRule="exact"/>
        <w:ind w:firstLine="482" w:firstLineChars="200"/>
        <w:rPr>
          <w:rFonts w:ascii="Times New Roman" w:hAnsi="Times New Roman"/>
          <w:b/>
          <w:sz w:val="24"/>
          <w:szCs w:val="24"/>
        </w:rPr>
      </w:pPr>
      <w:r>
        <w:rPr>
          <w:rFonts w:hint="eastAsia" w:ascii="Times New Roman" w:hAnsi="Times New Roman"/>
          <w:b/>
          <w:sz w:val="24"/>
          <w:szCs w:val="24"/>
        </w:rPr>
        <w:t>8.博茨瓦纳发布有关型式认证验证的新指南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2020年12月，博茨瓦纳通信监管局（BOCRA）发布了有关SIM Enabled设备的型式认证验证的新指南。该指南将于2022年1月1日起实施并生效。</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SIM Enabled设备供应链中涉及的利益相关方（供应商、零售商、转售商、本地代表和制造商）在完成型式认证注册程序之后，必须在BOCRA在线平台上使用以下信息来完成型式认证验证程序：</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(1)设备品牌和型号；</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(2)IMEI/TAC号码； </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(3)BOCRA型式认证号码。</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成功完成验证后，系统将签发包含设备详细信息的验证证书。</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新设备一旦连接到博茨瓦纳的移动网络，移动网络运营商的设备身份注册机构将捕获其IMEI码并进行验证。只有经过验证的设备才可以访问网络。</w:t>
      </w:r>
    </w:p>
    <w:p>
      <w:pPr>
        <w:widowControl/>
        <w:shd w:val="clear" w:color="auto" w:fill="FFFFFF"/>
        <w:spacing w:line="42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p>
    <w:p>
      <w:pPr>
        <w:widowControl/>
        <w:shd w:val="clear" w:color="auto" w:fill="FFFFFF"/>
        <w:spacing w:line="420" w:lineRule="exact"/>
        <w:rPr>
          <w:rFonts w:ascii="Times New Roman" w:hAnsi="Times New Roman"/>
          <w:sz w:val="24"/>
          <w:szCs w:val="24"/>
        </w:rPr>
      </w:pPr>
    </w:p>
    <w:p>
      <w:pPr>
        <w:widowControl/>
        <w:shd w:val="clear" w:color="auto" w:fill="FFFFFF"/>
        <w:spacing w:line="420" w:lineRule="exact"/>
        <w:ind w:firstLine="480" w:firstLineChars="200"/>
        <w:rPr>
          <w:rFonts w:ascii="Times New Roman" w:hAnsi="Times New Roman"/>
          <w:sz w:val="24"/>
          <w:szCs w:val="24"/>
        </w:rPr>
      </w:pPr>
    </w:p>
    <w:p>
      <w:pPr>
        <w:widowControl/>
        <w:shd w:val="clear" w:color="auto" w:fill="FFFFFF"/>
        <w:spacing w:line="420" w:lineRule="exact"/>
        <w:ind w:firstLine="480" w:firstLineChars="200"/>
        <w:rPr>
          <w:rFonts w:ascii="Times New Roman" w:hAnsi="Times New Roman"/>
          <w:sz w:val="24"/>
          <w:szCs w:val="24"/>
        </w:rPr>
      </w:pPr>
    </w:p>
    <w:p>
      <w:pPr>
        <w:shd w:val="clear" w:color="auto" w:fill="FFFFFF"/>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南方共同市场更新塑料食品包装法规</w:t>
      </w:r>
    </w:p>
    <w:p>
      <w:pPr>
        <w:widowControl/>
        <w:shd w:val="clear" w:color="auto" w:fill="FFFFFF"/>
        <w:spacing w:line="440" w:lineRule="exact"/>
        <w:ind w:firstLine="480" w:firstLineChars="200"/>
        <w:rPr>
          <w:rFonts w:ascii="Times New Roman" w:hAnsi="Times New Roman"/>
          <w:sz w:val="24"/>
          <w:szCs w:val="24"/>
        </w:rPr>
      </w:pPr>
    </w:p>
    <w:p>
      <w:pPr>
        <w:widowControl/>
        <w:shd w:val="clear" w:color="auto" w:fill="FFFFFF"/>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南美洲国家贸易联盟，南方共同市场已通过三项决议，更新</w:t>
      </w:r>
      <w:r>
        <w:fldChar w:fldCharType="begin"/>
      </w:r>
      <w:r>
        <w:instrText xml:space="preserve"> HYPERLINK "http://news.foodmate.net/tag_1665.html" \t "_blank" </w:instrText>
      </w:r>
      <w:r>
        <w:fldChar w:fldCharType="separate"/>
      </w:r>
      <w:r>
        <w:rPr>
          <w:rFonts w:hint="eastAsia" w:ascii="Times New Roman" w:hAnsi="Times New Roman"/>
          <w:sz w:val="24"/>
          <w:szCs w:val="24"/>
        </w:rPr>
        <w:t>食品接触材料</w:t>
      </w:r>
      <w:r>
        <w:rPr>
          <w:rFonts w:hint="eastAsia" w:ascii="Times New Roman" w:hAnsi="Times New Roman"/>
          <w:sz w:val="24"/>
          <w:szCs w:val="24"/>
        </w:rPr>
        <w:fldChar w:fldCharType="end"/>
      </w:r>
      <w:r>
        <w:rPr>
          <w:rFonts w:hint="eastAsia" w:ascii="Times New Roman" w:hAnsi="Times New Roman"/>
          <w:sz w:val="24"/>
          <w:szCs w:val="24"/>
        </w:rPr>
        <w:t>中所使用物质的</w:t>
      </w:r>
      <w:r>
        <w:fldChar w:fldCharType="begin"/>
      </w:r>
      <w:r>
        <w:instrText xml:space="preserve"> HYPERLINK "http://news.foodmate.net/tag_4570.html" \t "_blank" </w:instrText>
      </w:r>
      <w:r>
        <w:fldChar w:fldCharType="separate"/>
      </w:r>
      <w:r>
        <w:rPr>
          <w:rFonts w:hint="eastAsia" w:ascii="Times New Roman" w:hAnsi="Times New Roman"/>
          <w:sz w:val="24"/>
          <w:szCs w:val="24"/>
        </w:rPr>
        <w:t>法规</w:t>
      </w:r>
      <w:r>
        <w:rPr>
          <w:rFonts w:hint="eastAsia" w:ascii="Times New Roman" w:hAnsi="Times New Roman"/>
          <w:sz w:val="24"/>
          <w:szCs w:val="24"/>
        </w:rPr>
        <w:fldChar w:fldCharType="end"/>
      </w:r>
      <w:r>
        <w:rPr>
          <w:rFonts w:hint="eastAsia" w:ascii="Times New Roman" w:hAnsi="Times New Roman"/>
          <w:sz w:val="24"/>
          <w:szCs w:val="24"/>
        </w:rPr>
        <w:t>，该法规将于2022年4月生效。据化学观察网的信息可知，更新内容包括禁止在婴儿奶瓶和其他为儿童设计的食品接触物品中使用双酚A（BPA，CAS 80-05-7）。此外，在其他食品接触物品（FCA）中，双酚A的迁移限量也将降低至0.05毫克/千克。</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此次更新涉及九种金属在</w:t>
      </w:r>
      <w:r>
        <w:fldChar w:fldCharType="begin"/>
      </w:r>
      <w:r>
        <w:instrText xml:space="preserve"> HYPERLINK "http://news.foodmate.net/tag_1775.html" \t "_blank" </w:instrText>
      </w:r>
      <w:r>
        <w:fldChar w:fldCharType="separate"/>
      </w:r>
      <w:r>
        <w:rPr>
          <w:rFonts w:hint="eastAsia" w:ascii="Times New Roman" w:hAnsi="Times New Roman"/>
          <w:sz w:val="24"/>
          <w:szCs w:val="24"/>
        </w:rPr>
        <w:t>塑料</w:t>
      </w:r>
      <w:r>
        <w:rPr>
          <w:rFonts w:hint="eastAsia" w:ascii="Times New Roman" w:hAnsi="Times New Roman"/>
          <w:sz w:val="24"/>
          <w:szCs w:val="24"/>
        </w:rPr>
        <w:fldChar w:fldCharType="end"/>
      </w:r>
      <w:r>
        <w:rPr>
          <w:rFonts w:hint="eastAsia" w:ascii="Times New Roman" w:hAnsi="Times New Roman"/>
          <w:sz w:val="24"/>
          <w:szCs w:val="24"/>
        </w:rPr>
        <w:t>类食品接触物品中的允许迁移限量：铝和钡为1毫克/千克，铜和锌为5毫克/千克，钴为0.05毫克/千克，以及非挥发性物质的允许迁移限量。可用于塑料类食品接触材料的物质清单中加入了19种化学物质，可用于由木材和纸浆等材料制成的植物性物品的清单中加入了3种物质。</w:t>
      </w:r>
    </w:p>
    <w:p>
      <w:pPr>
        <w:widowControl/>
        <w:shd w:val="clear" w:color="auto" w:fill="FFFFFF"/>
        <w:spacing w:line="440" w:lineRule="exact"/>
        <w:ind w:firstLine="480" w:firstLineChars="200"/>
        <w:rPr>
          <w:rFonts w:ascii="Times New Roman" w:hAnsi="Times New Roman"/>
          <w:sz w:val="24"/>
          <w:szCs w:val="24"/>
        </w:rPr>
      </w:pPr>
      <w:r>
        <w:rPr>
          <w:rFonts w:hint="eastAsia" w:ascii="Times New Roman" w:hAnsi="Times New Roman"/>
          <w:sz w:val="24"/>
          <w:szCs w:val="24"/>
        </w:rPr>
        <w:t>南方共同市场的四个正式成员国为阿根廷、巴西、巴拉圭和乌拉圭，各成员国必须在2022年4月22日之前修改其国家法律，以符合南方共同市场的新规定。</w:t>
      </w:r>
    </w:p>
    <w:p>
      <w:pPr>
        <w:widowControl/>
        <w:shd w:val="clear" w:color="auto" w:fill="FFFFFF"/>
        <w:spacing w:line="42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p>
    <w:p>
      <w:pPr>
        <w:widowControl/>
        <w:shd w:val="clear" w:color="auto" w:fill="FFFFFF"/>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hAnsi="宋体" w:eastAsia="华文彩云"/>
          <w:sz w:val="36"/>
          <w:szCs w:val="36"/>
        </w:rPr>
        <w:sectPr>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会员风采</w:t>
      </w:r>
    </w:p>
    <w:p>
      <w:pPr>
        <w:adjustRightInd w:val="0"/>
        <w:snapToGrid w:val="0"/>
        <w:spacing w:line="440" w:lineRule="exact"/>
        <w:jc w:val="left"/>
        <w:rPr>
          <w:rFonts w:ascii="华文彩云" w:hAnsi="宋体" w:eastAsia="华文彩云"/>
          <w:sz w:val="36"/>
          <w:szCs w:val="36"/>
        </w:rPr>
      </w:pPr>
    </w:p>
    <w:p>
      <w:pPr>
        <w:spacing w:line="440" w:lineRule="exact"/>
        <w:ind w:firstLine="480" w:firstLineChars="200"/>
        <w:rPr>
          <w:rFonts w:ascii="Times New Roman"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无惧战“疫” 盛威再行动</w:t>
      </w:r>
    </w:p>
    <w:p>
      <w:pPr>
        <w:spacing w:line="440" w:lineRule="exact"/>
        <w:jc w:val="center"/>
        <w:rPr>
          <w:rFonts w:ascii="楷体_GB2312" w:hAnsi="宋体" w:eastAsia="楷体_GB2312"/>
          <w:b/>
          <w:bCs/>
          <w:sz w:val="36"/>
          <w:szCs w:val="36"/>
        </w:rPr>
      </w:pPr>
    </w:p>
    <w:p>
      <w:pPr>
        <w:spacing w:line="500" w:lineRule="exact"/>
        <w:jc w:val="center"/>
        <w:rPr>
          <w:rFonts w:ascii="楷体_GB2312" w:hAnsi="宋体" w:eastAsia="楷体_GB2312"/>
          <w:b/>
          <w:bCs/>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ascii="Times New Roman" w:hAnsi="宋体"/>
          <w:sz w:val="24"/>
          <w:szCs w:val="24"/>
        </w:rPr>
        <w:t>犹记去年寒冬，新型冠状病毒来势汹汹，民众一时陷入惶恐。今年，浙江严峻疫情再次袭来，面对此次紧急事态，盛威国际积极响应国家和政府的号召，根据地方防控部门的相关防疫要求，细致策划、严格规范并落实各项防疫应急措施，以保证有效遏制疫情扩散及蔓延。</w:t>
      </w:r>
    </w:p>
    <w:p>
      <w:pPr>
        <w:spacing w:line="440" w:lineRule="exact"/>
        <w:ind w:firstLine="482" w:firstLineChars="200"/>
        <w:rPr>
          <w:rFonts w:ascii="Times New Roman" w:hAnsi="宋体"/>
          <w:b/>
          <w:sz w:val="24"/>
          <w:szCs w:val="24"/>
        </w:rPr>
      </w:pPr>
      <w:r>
        <w:rPr>
          <w:rFonts w:hint="eastAsia" w:ascii="Times New Roman" w:hAnsi="宋体"/>
          <w:b/>
          <w:sz w:val="24"/>
          <w:szCs w:val="24"/>
        </w:rPr>
        <w:t>成立抗疫小组 组织防疫演习</w:t>
      </w:r>
    </w:p>
    <w:p>
      <w:pPr>
        <w:spacing w:line="440" w:lineRule="exact"/>
        <w:ind w:firstLine="480" w:firstLineChars="200"/>
        <w:rPr>
          <w:rFonts w:ascii="Times New Roman" w:hAnsi="宋体"/>
          <w:sz w:val="24"/>
          <w:szCs w:val="24"/>
        </w:rPr>
      </w:pPr>
      <w:r>
        <w:rPr>
          <w:rFonts w:hint="eastAsia" w:ascii="Times New Roman" w:hAnsi="宋体"/>
          <w:sz w:val="24"/>
          <w:szCs w:val="24"/>
        </w:rPr>
        <w:t>在宁波市启动疫情防控I级应急响应期间，为全面保障盛威员工的健康安全，助力区域疫情防控工作，由盛威国际各高管抽调组成的疫情应急防控小组应势成立，并由盛威国际总裁李雪梅女士亲任组长，贯彻落实政府各项政策，公司内部排查旅居史人员，推行24小时手机在线值班制，全面安排部署防控工作。</w:t>
      </w:r>
    </w:p>
    <w:p>
      <w:pPr>
        <w:spacing w:line="440" w:lineRule="exact"/>
        <w:ind w:firstLine="480" w:firstLineChars="200"/>
        <w:rPr>
          <w:rFonts w:ascii="Times New Roman" w:hAnsi="宋体"/>
          <w:sz w:val="24"/>
          <w:szCs w:val="24"/>
        </w:rPr>
      </w:pPr>
      <w:r>
        <w:rPr>
          <w:rFonts w:hint="eastAsia" w:ascii="Times New Roman" w:hAnsi="宋体"/>
          <w:sz w:val="24"/>
          <w:szCs w:val="24"/>
        </w:rPr>
        <w:t>盛威第一时间部署制定盛威亚太园区防疫预案，在园区内配备专用紧急隔离区，开展亚太园区疫情防控演习（12小时内防疫措施），前往高河塘社区广场了解和学习场地布置，绘制小港街道核酸检测点示意图，引导旗下各股份公司制定防疫应对方案，做好疫情防控的宣导、核查及管控工作。</w:t>
      </w:r>
    </w:p>
    <w:p>
      <w:pPr>
        <w:spacing w:line="440" w:lineRule="exact"/>
        <w:ind w:firstLine="482" w:firstLineChars="200"/>
        <w:rPr>
          <w:rFonts w:ascii="Times New Roman" w:hAnsi="宋体"/>
          <w:b/>
          <w:sz w:val="24"/>
          <w:szCs w:val="24"/>
        </w:rPr>
      </w:pPr>
      <w:r>
        <w:rPr>
          <w:rFonts w:ascii="Times New Roman" w:hAnsi="宋体"/>
          <w:b/>
          <w:sz w:val="24"/>
          <w:szCs w:val="24"/>
        </w:rPr>
        <w:t>“隔离”不隔爱</w:t>
      </w:r>
    </w:p>
    <w:p>
      <w:pPr>
        <w:spacing w:line="440" w:lineRule="exact"/>
        <w:ind w:firstLine="480" w:firstLineChars="200"/>
        <w:rPr>
          <w:rFonts w:ascii="Times New Roman" w:hAnsi="宋体"/>
          <w:sz w:val="24"/>
          <w:szCs w:val="24"/>
        </w:rPr>
      </w:pPr>
      <w:r>
        <w:rPr>
          <w:rFonts w:ascii="Times New Roman" w:hAnsi="宋体"/>
          <w:sz w:val="24"/>
          <w:szCs w:val="24"/>
        </w:rPr>
        <w:t>病毒可以被隔离，但温暖不会被隔离。隔离期间，针对员工的各项需求，公司关工委第一时间送去了各类物资和食品。疫情当前，这些再普通不过的资源寄托了我们的牵挂，也让他们倍感关怀和暖心。</w:t>
      </w:r>
    </w:p>
    <w:p>
      <w:pPr>
        <w:spacing w:line="440" w:lineRule="exact"/>
        <w:ind w:firstLine="482" w:firstLineChars="200"/>
        <w:rPr>
          <w:rFonts w:ascii="Times New Roman" w:hAnsi="宋体"/>
          <w:b/>
          <w:sz w:val="24"/>
          <w:szCs w:val="24"/>
        </w:rPr>
      </w:pPr>
      <w:r>
        <w:rPr>
          <w:rFonts w:ascii="Times New Roman" w:hAnsi="宋体"/>
          <w:b/>
          <w:sz w:val="24"/>
          <w:szCs w:val="24"/>
        </w:rPr>
        <w:t>战“疫”路上 感谢有你</w:t>
      </w:r>
    </w:p>
    <w:p>
      <w:pPr>
        <w:spacing w:line="440" w:lineRule="exact"/>
        <w:ind w:firstLine="480" w:firstLineChars="200"/>
        <w:rPr>
          <w:rFonts w:ascii="Times New Roman" w:hAnsi="宋体"/>
          <w:sz w:val="24"/>
          <w:szCs w:val="24"/>
        </w:rPr>
      </w:pPr>
      <w:r>
        <w:rPr>
          <w:rFonts w:ascii="Times New Roman" w:hAnsi="宋体"/>
          <w:sz w:val="24"/>
          <w:szCs w:val="24"/>
        </w:rPr>
        <w:t>疫情之下，我们见证了太多白色身影无畏地冲锋陷阵，疫情无情，但他们温暖了整个冬天。公司内部也组建了志愿者团队，盛威党员“逆行者”走上抗疫服务岗位，上演暖心故事。</w:t>
      </w:r>
    </w:p>
    <w:p>
      <w:pPr>
        <w:spacing w:line="440" w:lineRule="exact"/>
        <w:ind w:firstLine="480" w:firstLineChars="200"/>
        <w:rPr>
          <w:rFonts w:ascii="Times New Roman" w:hAnsi="宋体"/>
          <w:sz w:val="24"/>
          <w:szCs w:val="24"/>
        </w:rPr>
      </w:pPr>
      <w:r>
        <w:rPr>
          <w:rFonts w:ascii="Times New Roman" w:hAnsi="宋体"/>
          <w:sz w:val="24"/>
          <w:szCs w:val="24"/>
        </w:rPr>
        <w:t>12月7日，盛威党支部主动联系社区，“书记，只要组织需要，我们随叫随到！”第二天，盛威党员同志穿着社区派发的防护服出现，加入到小港街道防疫核酸检测工作组中，全力支持并走上核酸检测“前线”，以实际行动诠释企业责任。</w:t>
      </w:r>
    </w:p>
    <w:p>
      <w:pPr>
        <w:spacing w:line="440" w:lineRule="exact"/>
        <w:ind w:firstLine="480" w:firstLineChars="200"/>
        <w:rPr>
          <w:rFonts w:ascii="Times New Roman" w:hAnsi="宋体"/>
          <w:sz w:val="24"/>
          <w:szCs w:val="24"/>
        </w:rPr>
      </w:pPr>
      <w:r>
        <w:rPr>
          <w:rFonts w:ascii="Times New Roman" w:hAnsi="宋体"/>
          <w:sz w:val="24"/>
          <w:szCs w:val="24"/>
        </w:rPr>
        <w:t>这是一场没有硝烟的战争，没有人是局外人，但也没有人是孤岛，盛威国际将坚守战“疫”防线，慎始慎终，守望相助，共克时艰！</w:t>
      </w:r>
    </w:p>
    <w:p>
      <w:pPr>
        <w:spacing w:line="440" w:lineRule="exact"/>
        <w:ind w:firstLine="482" w:firstLineChars="200"/>
        <w:rPr>
          <w:rFonts w:ascii="Times New Roman" w:hAnsi="宋体"/>
          <w:b/>
          <w:sz w:val="24"/>
          <w:szCs w:val="24"/>
        </w:rPr>
      </w:pPr>
      <w:r>
        <w:rPr>
          <w:rFonts w:ascii="Times New Roman" w:hAnsi="宋体"/>
          <w:b/>
          <w:sz w:val="24"/>
          <w:szCs w:val="24"/>
        </w:rPr>
        <w:t>同舟共济 温暖同行</w:t>
      </w:r>
    </w:p>
    <w:p>
      <w:pPr>
        <w:spacing w:line="440" w:lineRule="exact"/>
        <w:ind w:firstLine="480" w:firstLineChars="200"/>
        <w:rPr>
          <w:rFonts w:ascii="Times New Roman" w:hAnsi="宋体"/>
          <w:sz w:val="24"/>
          <w:szCs w:val="24"/>
        </w:rPr>
      </w:pPr>
      <w:r>
        <w:rPr>
          <w:rFonts w:ascii="Times New Roman" w:hAnsi="宋体"/>
          <w:sz w:val="24"/>
          <w:szCs w:val="24"/>
        </w:rPr>
        <w:t>近日，疫区中心镇海区的管控措施不断升级，毗邻镇海区的小港街道也面临着严峻的防疫压力。</w:t>
      </w:r>
    </w:p>
    <w:p>
      <w:pPr>
        <w:spacing w:line="440" w:lineRule="exact"/>
        <w:ind w:firstLine="480" w:firstLineChars="200"/>
        <w:rPr>
          <w:rFonts w:ascii="Times New Roman" w:hAnsi="宋体"/>
          <w:sz w:val="24"/>
          <w:szCs w:val="24"/>
        </w:rPr>
      </w:pPr>
      <w:r>
        <w:rPr>
          <w:rFonts w:ascii="Times New Roman" w:hAnsi="宋体"/>
          <w:sz w:val="24"/>
          <w:szCs w:val="24"/>
        </w:rPr>
        <w:t>听闻小港街道防护物资紧缺的消息，盛威国际立即做出响应，并于12月13日、14日分批将50000只无菌型一次性医用口罩及500套防护服送达小港街道，随后防护物资将陆续分发给在一线作战的工作人员。</w:t>
      </w:r>
    </w:p>
    <w:p>
      <w:pPr>
        <w:spacing w:line="440" w:lineRule="exact"/>
        <w:ind w:firstLine="480" w:firstLineChars="200"/>
        <w:rPr>
          <w:rFonts w:ascii="Times New Roman" w:hAnsi="宋体"/>
          <w:sz w:val="24"/>
          <w:szCs w:val="24"/>
        </w:rPr>
      </w:pPr>
      <w:r>
        <w:rPr>
          <w:rFonts w:hint="eastAsia" w:ascii="Times New Roman" w:hAnsi="宋体"/>
          <w:sz w:val="24"/>
          <w:szCs w:val="24"/>
        </w:rPr>
        <w:t>去年此时，艰克运输难、疫情险的特殊状况，盛威国际也竭尽所能地奔波在采购物资的路上，共计40余万件的各类防护用品是我们无声的支持，当它们被用在前线的时候，希望所有同胞都能感受到：我们都在！</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同心同德，多难兴邦，盛威国际将持续本着</w:t>
      </w:r>
      <w:r>
        <w:rPr>
          <w:rFonts w:hint="eastAsia" w:ascii="Times New Roman" w:hAnsi="宋体"/>
          <w:bCs/>
          <w:sz w:val="24"/>
          <w:szCs w:val="24"/>
        </w:rPr>
        <w:t>“创造安全、感受安心”</w:t>
      </w:r>
      <w:r>
        <w:rPr>
          <w:rFonts w:hint="eastAsia" w:ascii="Times New Roman" w:hAnsi="宋体"/>
          <w:sz w:val="24"/>
          <w:szCs w:val="24"/>
        </w:rPr>
        <w:t>的核心价值观，积极配合疫情防控工作，上下一心，以最快速度、最严措施、最硬担当，助力打赢疫情防控阻击战！</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p>
    <w:p>
      <w:pPr>
        <w:spacing w:line="440" w:lineRule="exact"/>
        <w:jc w:val="center"/>
        <w:rPr>
          <w:rFonts w:ascii="楷体_GB2312" w:hAnsi="宋体" w:eastAsia="楷体_GB2312"/>
          <w:b/>
          <w:bCs/>
          <w:sz w:val="36"/>
          <w:szCs w:val="36"/>
        </w:rPr>
      </w:pPr>
      <w:r>
        <w:rPr>
          <w:rFonts w:hint="eastAsia" w:ascii="楷体_GB2312" w:hAnsi="宋体" w:eastAsia="楷体_GB2312"/>
          <w:b/>
          <w:bCs/>
          <w:sz w:val="36"/>
          <w:szCs w:val="36"/>
        </w:rPr>
        <w:t>齐心战疫</w:t>
      </w:r>
    </w:p>
    <w:p>
      <w:pPr>
        <w:spacing w:line="440" w:lineRule="exact"/>
        <w:jc w:val="center"/>
        <w:rPr>
          <w:rFonts w:ascii="华文细黑" w:hAnsi="华文细黑" w:eastAsia="华文细黑"/>
          <w:sz w:val="28"/>
          <w:szCs w:val="28"/>
        </w:rPr>
      </w:pPr>
      <w:r>
        <w:rPr>
          <w:rFonts w:hint="eastAsia" w:ascii="华文细黑" w:hAnsi="华文细黑" w:eastAsia="华文细黑"/>
          <w:sz w:val="28"/>
          <w:szCs w:val="28"/>
        </w:rPr>
        <w:t>宁波外贸企业在行动</w:t>
      </w:r>
    </w:p>
    <w:p>
      <w:pPr>
        <w:spacing w:line="440" w:lineRule="exact"/>
        <w:jc w:val="center"/>
        <w:rPr>
          <w:rFonts w:ascii="Times New Roman" w:hAnsi="宋体"/>
          <w:sz w:val="24"/>
          <w:szCs w:val="24"/>
        </w:rPr>
      </w:pPr>
    </w:p>
    <w:p>
      <w:pPr>
        <w:spacing w:line="440" w:lineRule="exact"/>
        <w:jc w:val="center"/>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自12月5日宁波市镇海区发现首例新型冠状病毒感染肺炎病例后，我市迅速启动I级应急响应，一场关系到每一位市民健康的疫情防控战打响。</w:t>
      </w:r>
    </w:p>
    <w:p>
      <w:pPr>
        <w:spacing w:line="440" w:lineRule="exact"/>
        <w:ind w:firstLine="480" w:firstLineChars="200"/>
        <w:rPr>
          <w:rFonts w:ascii="Times New Roman" w:hAnsi="宋体"/>
          <w:sz w:val="24"/>
          <w:szCs w:val="24"/>
        </w:rPr>
      </w:pPr>
      <w:r>
        <w:rPr>
          <w:rFonts w:hint="eastAsia" w:ascii="Times New Roman" w:hAnsi="宋体"/>
          <w:sz w:val="24"/>
          <w:szCs w:val="24"/>
        </w:rPr>
        <w:t>我会常务理事单位宁波帝加唯达商贸有限公司总经理陈薏主动报名在镇海招宝山街道张鑑碶社区做志愿者，协助卡口管理、区域劝导，作为党员女企业家带头冲在一线。</w:t>
      </w:r>
    </w:p>
    <w:p>
      <w:pPr>
        <w:spacing w:line="440" w:lineRule="exact"/>
        <w:ind w:firstLine="480" w:firstLineChars="200"/>
        <w:rPr>
          <w:rFonts w:ascii="Times New Roman" w:hAnsi="宋体"/>
          <w:sz w:val="24"/>
          <w:szCs w:val="24"/>
        </w:rPr>
      </w:pPr>
      <w:r>
        <w:rPr>
          <w:rFonts w:hint="eastAsia" w:ascii="Times New Roman" w:hAnsi="宋体"/>
          <w:sz w:val="24"/>
          <w:szCs w:val="24"/>
        </w:rPr>
        <w:t>会员单位金丰（中国）机械工业有限公司向镇海区慈善总会捐赠了20000元。</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还有多家单位驰援镇海，为打赢这场疫情防控战贡献自己的力量。</w:t>
      </w:r>
    </w:p>
    <w:p>
      <w:pPr>
        <w:spacing w:line="440" w:lineRule="exact"/>
        <w:ind w:firstLine="480" w:firstLineChars="200"/>
        <w:rPr>
          <w:rFonts w:ascii="Times New Roman" w:hAnsi="宋体"/>
          <w:sz w:val="24"/>
          <w:szCs w:val="24"/>
        </w:rPr>
      </w:pPr>
    </w:p>
    <w:p>
      <w:pPr>
        <w:spacing w:line="440" w:lineRule="exact"/>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rPr>
          <w:rFonts w:ascii="Times New Roman" w:hAnsi="宋体"/>
          <w:sz w:val="24"/>
          <w:szCs w:val="24"/>
        </w:rPr>
      </w:pPr>
    </w:p>
    <w:p>
      <w:pPr>
        <w:adjustRightInd w:val="0"/>
        <w:snapToGrid w:val="0"/>
        <w:spacing w:line="440" w:lineRule="exact"/>
        <w:jc w:val="left"/>
        <w:rPr>
          <w:rFonts w:ascii="华文彩云" w:hAnsi="宋体" w:eastAsia="华文彩云"/>
          <w:b/>
          <w:sz w:val="36"/>
          <w:szCs w:val="36"/>
        </w:rPr>
        <w:sectPr>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hAnsi="宋体" w:eastAsia="华文彩云"/>
          <w:b/>
          <w:sz w:val="36"/>
          <w:szCs w:val="36"/>
        </w:rPr>
        <w:t>风向标</w:t>
      </w:r>
    </w:p>
    <w:p>
      <w:pPr>
        <w:spacing w:line="440" w:lineRule="exact"/>
        <w:jc w:val="left"/>
        <w:rPr>
          <w:rFonts w:ascii="Times New Roman" w:hAnsi="宋体"/>
          <w:sz w:val="24"/>
          <w:szCs w:val="24"/>
        </w:rPr>
      </w:pPr>
    </w:p>
    <w:p>
      <w:pPr>
        <w:spacing w:line="440" w:lineRule="exact"/>
        <w:jc w:val="left"/>
        <w:rPr>
          <w:rFonts w:ascii="Times New Roman" w:hAnsi="宋体"/>
          <w:sz w:val="24"/>
          <w:szCs w:val="24"/>
        </w:rPr>
      </w:pPr>
    </w:p>
    <w:p>
      <w:pPr>
        <w:tabs>
          <w:tab w:val="left" w:pos="1380"/>
          <w:tab w:val="center" w:pos="4153"/>
        </w:tabs>
        <w:spacing w:line="500" w:lineRule="exact"/>
        <w:jc w:val="left"/>
        <w:rPr>
          <w:rFonts w:ascii="楷体_GB2312" w:hAnsi="宋体" w:eastAsia="楷体_GB2312"/>
          <w:b/>
          <w:bCs/>
          <w:sz w:val="36"/>
          <w:szCs w:val="36"/>
        </w:rPr>
      </w:pPr>
      <w:r>
        <w:rPr>
          <w:rFonts w:ascii="楷体_GB2312" w:hAnsi="宋体" w:eastAsia="楷体_GB2312"/>
          <w:b/>
          <w:bCs/>
          <w:sz w:val="36"/>
          <w:szCs w:val="36"/>
        </w:rPr>
        <w:tab/>
      </w:r>
      <w:r>
        <w:rPr>
          <w:rFonts w:ascii="楷体_GB2312" w:hAnsi="宋体" w:eastAsia="楷体_GB2312"/>
          <w:b/>
          <w:bCs/>
          <w:sz w:val="36"/>
          <w:szCs w:val="36"/>
        </w:rPr>
        <w:tab/>
      </w:r>
      <w:r>
        <w:rPr>
          <w:rFonts w:hint="eastAsia" w:ascii="楷体_GB2312" w:hAnsi="宋体" w:eastAsia="楷体_GB2312"/>
          <w:b/>
          <w:bCs/>
          <w:sz w:val="36"/>
          <w:szCs w:val="36"/>
        </w:rPr>
        <w:t>RCEP背景下自行车出口更具优势</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作为自行车出口大国，中国每年直接出口自行车整车约30多亿美元。虽然原材料价格持续上涨，但中国自行车出口却未受太大影响，行情表现强劲。</w:t>
      </w:r>
    </w:p>
    <w:p>
      <w:pPr>
        <w:spacing w:line="440" w:lineRule="exact"/>
        <w:ind w:firstLine="480" w:firstLineChars="200"/>
        <w:rPr>
          <w:rFonts w:ascii="Times New Roman" w:hAnsi="宋体"/>
          <w:sz w:val="24"/>
          <w:szCs w:val="24"/>
        </w:rPr>
      </w:pPr>
      <w:r>
        <w:rPr>
          <w:rFonts w:hint="eastAsia" w:ascii="Times New Roman" w:hAnsi="宋体"/>
          <w:sz w:val="24"/>
          <w:szCs w:val="24"/>
        </w:rPr>
        <w:t>据海关统计，今年前三季度，中国自行车及零部件的出口额达到77.64亿美元，同比增长67.9%，增速创下近5年来的最高纪录。</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在自行车整车出口的6种产品中，代表高端运动、高附加值的竞赛型自行车、山地自行车出口增长强劲，出口量同比分别增长了122.7%和50.6%。自行车产品档次和附加值进一步提高，9月份出口整车平均单价达到71.2美元，创历史新高，对美国、加拿大、智利、俄罗斯等国出口量保持两位数增幅。</w:t>
      </w:r>
    </w:p>
    <w:p>
      <w:pPr>
        <w:spacing w:line="440" w:lineRule="exact"/>
        <w:ind w:firstLine="480" w:firstLineChars="200"/>
        <w:rPr>
          <w:rFonts w:ascii="Times New Roman" w:hAnsi="宋体"/>
          <w:sz w:val="24"/>
          <w:szCs w:val="24"/>
        </w:rPr>
      </w:pPr>
      <w:r>
        <w:rPr>
          <w:rFonts w:hint="eastAsia" w:ascii="Times New Roman" w:hAnsi="宋体"/>
          <w:sz w:val="24"/>
          <w:szCs w:val="24"/>
        </w:rPr>
        <w:t>“海关数据显示，2020年中国自行车出口同比增长28.3%至36.91亿美元，创历史新高；出口数量为6086万辆，同比增长14.8%；出口平均单价为60.6美元，同比上涨11.8%。2021年度自行车出口额超过2020年几成定局，将再创历史新高。”中国机电产品进出口商会展览中心高级经理刘澳克预判道。</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究其原因，刘澳克对国际商报记者表示，自去年以来，受三方面因素影响，中国自行车出口呈现逆势增长：一是需求增加，疫情的发生使人们更加青睐健康安全的骑行方式；二是疫情的发生使部分国家生产受阻，部分订单转移至中国；三是境外经销商今年上半年补仓趋势走强。</w:t>
      </w:r>
    </w:p>
    <w:p>
      <w:pPr>
        <w:spacing w:line="440" w:lineRule="exact"/>
        <w:ind w:firstLine="480" w:firstLineChars="200"/>
        <w:rPr>
          <w:rFonts w:ascii="Times New Roman" w:hAnsi="宋体"/>
          <w:sz w:val="24"/>
          <w:szCs w:val="24"/>
        </w:rPr>
      </w:pPr>
      <w:r>
        <w:rPr>
          <w:rFonts w:hint="eastAsia" w:ascii="Times New Roman" w:hAnsi="宋体"/>
          <w:sz w:val="24"/>
          <w:szCs w:val="24"/>
        </w:rPr>
        <w:t>“虽然出口实现增长，但自行车企业也面临着原材料供应紧张导致交货延迟、原材料价格上涨、汇率波动、舱位难求、运价上涨等困难，行业整体效益并未随出口额增长而大幅增加，行业整体利润率低于以往。”刘澳克直言，中国自行车出口的平均价格与生产中高端自行车的德国、日本、美国、荷兰等国家相比仍存在差距。未来加快产品结构提升，逐步改变以往国内自行车产业以低附加值产品为主的局面，是中国自行车企业发展的当务之急。</w:t>
      </w:r>
    </w:p>
    <w:p>
      <w:pPr>
        <w:spacing w:line="440" w:lineRule="exact"/>
        <w:ind w:firstLine="480" w:firstLineChars="200"/>
        <w:rPr>
          <w:rFonts w:ascii="Times New Roman" w:hAnsi="宋体"/>
          <w:sz w:val="24"/>
          <w:szCs w:val="24"/>
        </w:rPr>
      </w:pPr>
      <w:r>
        <w:rPr>
          <w:rFonts w:hint="eastAsia" w:ascii="Times New Roman" w:hAnsi="宋体"/>
          <w:sz w:val="24"/>
          <w:szCs w:val="24"/>
        </w:rPr>
        <w:t>值得一提的是，《区域全面经济伙伴关系协定》(RCEP)已进入生效倒计时。在中国自行车前10大出口市场中，RCEP成员国占了7席，这意味着，RCEP生效后自行车行业将迎来重大发展机遇。</w:t>
      </w:r>
    </w:p>
    <w:p>
      <w:pPr>
        <w:spacing w:line="440" w:lineRule="exact"/>
        <w:ind w:firstLine="480" w:firstLineChars="200"/>
        <w:rPr>
          <w:rFonts w:ascii="Times New Roman" w:hAnsi="宋体"/>
          <w:sz w:val="24"/>
          <w:szCs w:val="24"/>
        </w:rPr>
      </w:pPr>
      <w:r>
        <w:rPr>
          <w:rFonts w:hint="eastAsia" w:ascii="Times New Roman" w:hAnsi="宋体"/>
          <w:sz w:val="24"/>
          <w:szCs w:val="24"/>
        </w:rPr>
        <w:t>数据显示，2020年中国自行车对RCEP自贸协定涉及的14个国家出口额为16亿美元，占整体出口的43.4%，同比增长42.5%。其中，对东盟出口7.66亿美元，占整体出口的20.7%，同比增长110.6%。</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目前，RCEP成员国中，老挝、越南、柬埔寨对自行车全部商品或大部分商品关税不予减让，但一半的国家承诺对中国自行车关税在8~15年内减让至零关税，澳大利亚、新西兰、新加坡和日本等国家已承诺直接减至零关税。</w:t>
      </w:r>
    </w:p>
    <w:p>
      <w:pPr>
        <w:spacing w:line="440" w:lineRule="exact"/>
        <w:ind w:firstLine="480" w:firstLineChars="200"/>
        <w:rPr>
          <w:rFonts w:ascii="Times New Roman" w:hAnsi="宋体"/>
          <w:sz w:val="24"/>
          <w:szCs w:val="24"/>
        </w:rPr>
      </w:pPr>
      <w:r>
        <w:rPr>
          <w:rFonts w:hint="eastAsia" w:ascii="Times New Roman" w:hAnsi="宋体"/>
          <w:sz w:val="24"/>
          <w:szCs w:val="24"/>
        </w:rPr>
        <w:t>“预计RCEP正式生效将促进中国自行车行业发展尤其是出口贸易，进一步降低企业贸易投资成本，同时有利于规模以上企业做好产业与相关市场的战略布局。”刘澳克说。（国际商报12-16）</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ascii="Times New Roman" w:hAnsi="宋体"/>
          <w:sz w:val="24"/>
          <w:szCs w:val="24"/>
        </w:rPr>
      </w:pPr>
    </w:p>
    <w:p>
      <w:pPr>
        <w:spacing w:line="440" w:lineRule="exact"/>
        <w:ind w:firstLine="723" w:firstLineChars="200"/>
        <w:rPr>
          <w:rFonts w:ascii="楷体_GB2312" w:hAnsi="宋体" w:eastAsia="楷体_GB2312"/>
          <w:b/>
          <w:bCs/>
          <w:sz w:val="36"/>
          <w:szCs w:val="36"/>
        </w:rPr>
      </w:pPr>
    </w:p>
    <w:p>
      <w:pPr>
        <w:spacing w:line="440" w:lineRule="exact"/>
        <w:ind w:firstLine="480" w:firstLineChars="200"/>
        <w:rPr>
          <w:rFonts w:ascii="Times New Roman"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中国纺织品服装 出口增长承压</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今年前10个月，中国纺织品服装出口额同比增长6.74%，其中，中国对东盟纺织品服装出口增长较快。卓创资讯分析师刘杰预计，受出口成本上涨的影响，11月中国纺织品服装出口将承压。</w:t>
      </w:r>
    </w:p>
    <w:p>
      <w:pPr>
        <w:spacing w:line="440" w:lineRule="exact"/>
        <w:ind w:firstLine="480" w:firstLineChars="200"/>
        <w:rPr>
          <w:rFonts w:ascii="Times New Roman" w:hAnsi="宋体"/>
          <w:sz w:val="24"/>
          <w:szCs w:val="24"/>
        </w:rPr>
      </w:pPr>
      <w:r>
        <w:rPr>
          <w:rFonts w:hint="eastAsia" w:ascii="Times New Roman" w:hAnsi="宋体"/>
          <w:sz w:val="24"/>
          <w:szCs w:val="24"/>
        </w:rPr>
        <w:t>数据显示，今年1-10月，中国纺织品服装出口额2565.33亿美元，同比增长6.74%(以人民币计同比下降1.33%)。其中，纺织品出口额1176.83亿美元，同比下降9.1%(以人民币计同比下降16%)；服装出口额1388.5亿美元，同比增长25.2%(以人民币计同比增长15.8%)。</w:t>
      </w:r>
    </w:p>
    <w:p>
      <w:pPr>
        <w:spacing w:line="440" w:lineRule="exact"/>
        <w:ind w:firstLine="480" w:firstLineChars="200"/>
        <w:rPr>
          <w:rFonts w:ascii="Times New Roman" w:hAnsi="宋体"/>
          <w:sz w:val="24"/>
          <w:szCs w:val="24"/>
        </w:rPr>
      </w:pPr>
      <w:r>
        <w:rPr>
          <w:rFonts w:hint="eastAsia" w:ascii="Times New Roman" w:hAnsi="宋体"/>
          <w:sz w:val="24"/>
          <w:szCs w:val="24"/>
        </w:rPr>
        <w:t>继9月份纺织服装出口额同比恢复正增长后，10月份中国纺织品服装出口额增幅扩大至16.47%(以人民币计同比增长10.27%)。10月份中国纺织品服装出口额289.37亿美元，创下近5年同期新高，其中纺织品当月出口额125亿美元，同比增长7.19%(以人民币计同比增长1.47%)，自今年二季度以来首次恢复单月正增长。</w:t>
      </w:r>
    </w:p>
    <w:p>
      <w:pPr>
        <w:spacing w:line="440" w:lineRule="exact"/>
        <w:ind w:firstLine="480" w:firstLineChars="200"/>
        <w:rPr>
          <w:rFonts w:ascii="Times New Roman" w:hAnsi="宋体"/>
          <w:sz w:val="24"/>
          <w:szCs w:val="24"/>
        </w:rPr>
      </w:pPr>
      <w:r>
        <w:rPr>
          <w:rFonts w:hint="eastAsia" w:ascii="Times New Roman" w:hAnsi="宋体"/>
          <w:sz w:val="24"/>
          <w:szCs w:val="24"/>
        </w:rPr>
        <w:t>10月全球疫情反复，其中越南等东南亚国家部分纺织企业继续限产，部分国外订单回流国内，并助推棉花、棉纱价格共振上涨、涨势加速。然而棉花价格短期急涨，不利于纺织企业接单。</w:t>
      </w:r>
    </w:p>
    <w:p>
      <w:pPr>
        <w:spacing w:line="440" w:lineRule="exact"/>
        <w:ind w:firstLine="480" w:firstLineChars="200"/>
        <w:rPr>
          <w:rFonts w:ascii="Times New Roman" w:hAnsi="宋体"/>
          <w:sz w:val="24"/>
          <w:szCs w:val="24"/>
        </w:rPr>
      </w:pPr>
      <w:r>
        <w:rPr>
          <w:rFonts w:hint="eastAsia" w:ascii="Times New Roman" w:hAnsi="宋体"/>
          <w:sz w:val="24"/>
          <w:szCs w:val="24"/>
        </w:rPr>
        <w:t>据卓创资讯调研，国庆节后棉花期货价格高开高走，加之新棉上市籽棉价格高开高走，棉花现货价格上涨3500元/吨，棉纱价格跟涨2500元/吨左右，部分企业报价上浮3000~4000元/吨，但因短期涨幅过大，下游企业多停采观望，库存棉花消耗速度加快，企业完成前期订单为主，新订单不佳。</w:t>
      </w:r>
    </w:p>
    <w:p>
      <w:pPr>
        <w:spacing w:line="440" w:lineRule="exact"/>
        <w:ind w:firstLine="480" w:firstLineChars="200"/>
        <w:rPr>
          <w:rFonts w:ascii="Times New Roman" w:hAnsi="宋体"/>
          <w:sz w:val="24"/>
          <w:szCs w:val="24"/>
        </w:rPr>
      </w:pPr>
      <w:r>
        <w:rPr>
          <w:rFonts w:hint="eastAsia" w:ascii="Times New Roman" w:hAnsi="宋体"/>
          <w:sz w:val="24"/>
          <w:szCs w:val="24"/>
        </w:rPr>
        <w:t>数据显示，今年前三季度，中国纺织品服装对东南亚、南亚及非洲国家出口增长较快。前三季度，中国纺织品服装对越南出口额108.2亿美元，同比增长31.8%，占同期对全球出口纺织品比重的10.3%；中国纺织品服装对孟加拉国、印度尼西亚和柬埔寨出口额同比分别增长52.6%、52.7%和40.4%；中国纺织品服装对南亚的印度、巴基斯坦，以及对非洲尼日利亚出口也实现较快增长，出口额同比分别增长90.7%、67.3%和54.5%。中国纺织品服装对美出口恢复增长，出口额428.4亿美元，同比增长2.43%，比2019年同期增长21.2%。其中大类商品针梭织服装增长39.7%，比2019年同期增长5.5%。中国纺织品服装对欧盟出口降幅收窄，服装增势扩大，出口额351.8亿美元，同比下降17.4%，比2019年同期增长14.6%。其中针梭织服装出口额增长15.7%，比2019年增长5.9%。中国纺织品服装对日出口处于波动区间，出口额同比下降8.4%，比2019年同期增长1.3%。其中重点商品针梭织服装同比增长7%，比2019年下降7.7%。中国纺织品服装对东盟出口增长较快，出口额同比增长23.1%，比2019年同期增长23.5%。其中重点商品纱线面料同比增长29%，比2019年增长7.5%。</w:t>
      </w:r>
    </w:p>
    <w:p>
      <w:pPr>
        <w:spacing w:line="440" w:lineRule="exact"/>
        <w:ind w:firstLine="480" w:firstLineChars="200"/>
        <w:rPr>
          <w:rFonts w:ascii="Times New Roman" w:hAnsi="宋体"/>
          <w:sz w:val="24"/>
          <w:szCs w:val="24"/>
        </w:rPr>
      </w:pPr>
      <w:r>
        <w:rPr>
          <w:rFonts w:hint="eastAsia" w:ascii="Times New Roman" w:hAnsi="宋体"/>
          <w:sz w:val="24"/>
          <w:szCs w:val="24"/>
        </w:rPr>
        <w:t>刘杰认为，海运费价格持续上涨，加之原料价格上涨，纺织品服装出口成本高企，加之东南亚地区纺织企业陆续复产，下游市场逐渐出现负反馈，终端订单回流减少，11月中国纺织品服装出口形势不容乐观。</w:t>
      </w:r>
    </w:p>
    <w:p>
      <w:pPr>
        <w:spacing w:line="440" w:lineRule="exact"/>
        <w:ind w:firstLine="480" w:firstLineChars="200"/>
        <w:rPr>
          <w:rFonts w:ascii="Times New Roman" w:hAnsi="宋体"/>
          <w:sz w:val="24"/>
          <w:szCs w:val="24"/>
        </w:rPr>
      </w:pPr>
      <w:r>
        <w:rPr>
          <w:rFonts w:hint="eastAsia" w:ascii="Times New Roman" w:hAnsi="宋体"/>
          <w:sz w:val="24"/>
          <w:szCs w:val="24"/>
        </w:rPr>
        <w:t>据卓创资讯调研，当前中国纺织企业普遍反馈订单不佳，棉纱价格弱势下行，棉纺企业棉花多随用随采，部分企业逢低采购国储棉。“长期来看，在多重积极因素的影响下，中国纺织品服装国际市场份额有望继续巩固。”刘杰表示。（国际商报12-01）</w:t>
      </w:r>
    </w:p>
    <w:p>
      <w:pPr>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ascii="Times New Roman" w:hAnsi="Times New Roman"/>
          <w:sz w:val="24"/>
          <w:szCs w:val="2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bold">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54</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宁波市对外经济贸易企业协会（宁波进出口商会）会刊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4C5B"/>
    <w:rsid w:val="000008C5"/>
    <w:rsid w:val="00000BF3"/>
    <w:rsid w:val="000036F0"/>
    <w:rsid w:val="00003896"/>
    <w:rsid w:val="00004C5B"/>
    <w:rsid w:val="00005996"/>
    <w:rsid w:val="0000616C"/>
    <w:rsid w:val="00012325"/>
    <w:rsid w:val="0002029D"/>
    <w:rsid w:val="000211CB"/>
    <w:rsid w:val="00021B9C"/>
    <w:rsid w:val="000231EC"/>
    <w:rsid w:val="000235AC"/>
    <w:rsid w:val="00023C49"/>
    <w:rsid w:val="000252B6"/>
    <w:rsid w:val="00027E23"/>
    <w:rsid w:val="000303E8"/>
    <w:rsid w:val="000309ED"/>
    <w:rsid w:val="00031FE6"/>
    <w:rsid w:val="00032AF2"/>
    <w:rsid w:val="00034058"/>
    <w:rsid w:val="000345FE"/>
    <w:rsid w:val="00034CF7"/>
    <w:rsid w:val="00035669"/>
    <w:rsid w:val="000356C8"/>
    <w:rsid w:val="00035B97"/>
    <w:rsid w:val="000364BA"/>
    <w:rsid w:val="00042C53"/>
    <w:rsid w:val="0004381A"/>
    <w:rsid w:val="0004669D"/>
    <w:rsid w:val="00046A17"/>
    <w:rsid w:val="00047918"/>
    <w:rsid w:val="00052218"/>
    <w:rsid w:val="00052B1A"/>
    <w:rsid w:val="00053B7A"/>
    <w:rsid w:val="00056E10"/>
    <w:rsid w:val="00056EE5"/>
    <w:rsid w:val="000603E5"/>
    <w:rsid w:val="0006053B"/>
    <w:rsid w:val="00071ABB"/>
    <w:rsid w:val="00071EFF"/>
    <w:rsid w:val="00072361"/>
    <w:rsid w:val="000736A4"/>
    <w:rsid w:val="00076EF2"/>
    <w:rsid w:val="0008468A"/>
    <w:rsid w:val="00084C12"/>
    <w:rsid w:val="000874DA"/>
    <w:rsid w:val="00087AAB"/>
    <w:rsid w:val="0009228E"/>
    <w:rsid w:val="000932EA"/>
    <w:rsid w:val="00093420"/>
    <w:rsid w:val="000956F2"/>
    <w:rsid w:val="000970C7"/>
    <w:rsid w:val="000A2878"/>
    <w:rsid w:val="000A4805"/>
    <w:rsid w:val="000A6B4B"/>
    <w:rsid w:val="000B0C5E"/>
    <w:rsid w:val="000B2ED1"/>
    <w:rsid w:val="000B2FB0"/>
    <w:rsid w:val="000B36E3"/>
    <w:rsid w:val="000B525C"/>
    <w:rsid w:val="000C3E87"/>
    <w:rsid w:val="000C47F0"/>
    <w:rsid w:val="000C67B7"/>
    <w:rsid w:val="000C6C7F"/>
    <w:rsid w:val="000D03B1"/>
    <w:rsid w:val="000D0634"/>
    <w:rsid w:val="000D2627"/>
    <w:rsid w:val="000D38C0"/>
    <w:rsid w:val="000D3C55"/>
    <w:rsid w:val="000D48C6"/>
    <w:rsid w:val="000D585A"/>
    <w:rsid w:val="000E231A"/>
    <w:rsid w:val="000E259F"/>
    <w:rsid w:val="000E2D96"/>
    <w:rsid w:val="000E4C01"/>
    <w:rsid w:val="000E5A74"/>
    <w:rsid w:val="000E647C"/>
    <w:rsid w:val="000F12D6"/>
    <w:rsid w:val="000F1BEE"/>
    <w:rsid w:val="000F3E54"/>
    <w:rsid w:val="000F6373"/>
    <w:rsid w:val="00101EF3"/>
    <w:rsid w:val="00107621"/>
    <w:rsid w:val="001116C4"/>
    <w:rsid w:val="00111717"/>
    <w:rsid w:val="001119C2"/>
    <w:rsid w:val="00113EF6"/>
    <w:rsid w:val="00114A99"/>
    <w:rsid w:val="00116B13"/>
    <w:rsid w:val="001218FE"/>
    <w:rsid w:val="00122014"/>
    <w:rsid w:val="00122B73"/>
    <w:rsid w:val="00126B34"/>
    <w:rsid w:val="00127F0B"/>
    <w:rsid w:val="00130918"/>
    <w:rsid w:val="00131D4B"/>
    <w:rsid w:val="0013244D"/>
    <w:rsid w:val="0013349B"/>
    <w:rsid w:val="001350EE"/>
    <w:rsid w:val="001359ED"/>
    <w:rsid w:val="00135A7F"/>
    <w:rsid w:val="001361C4"/>
    <w:rsid w:val="00137ACF"/>
    <w:rsid w:val="00140D86"/>
    <w:rsid w:val="00142CD2"/>
    <w:rsid w:val="00151B4F"/>
    <w:rsid w:val="00152805"/>
    <w:rsid w:val="00156308"/>
    <w:rsid w:val="0015710B"/>
    <w:rsid w:val="00162734"/>
    <w:rsid w:val="00163FD4"/>
    <w:rsid w:val="00166043"/>
    <w:rsid w:val="0016622A"/>
    <w:rsid w:val="00166AC0"/>
    <w:rsid w:val="001729AA"/>
    <w:rsid w:val="0017311B"/>
    <w:rsid w:val="001751DE"/>
    <w:rsid w:val="00176A9C"/>
    <w:rsid w:val="001809EF"/>
    <w:rsid w:val="00180ABE"/>
    <w:rsid w:val="00181247"/>
    <w:rsid w:val="001815CC"/>
    <w:rsid w:val="001835CE"/>
    <w:rsid w:val="001844C9"/>
    <w:rsid w:val="00184C32"/>
    <w:rsid w:val="00184DA8"/>
    <w:rsid w:val="00185486"/>
    <w:rsid w:val="0018560E"/>
    <w:rsid w:val="001868F6"/>
    <w:rsid w:val="00187232"/>
    <w:rsid w:val="001906F8"/>
    <w:rsid w:val="0019189E"/>
    <w:rsid w:val="001951A2"/>
    <w:rsid w:val="00195F4D"/>
    <w:rsid w:val="00196680"/>
    <w:rsid w:val="001A01CA"/>
    <w:rsid w:val="001A1719"/>
    <w:rsid w:val="001A59AA"/>
    <w:rsid w:val="001A6137"/>
    <w:rsid w:val="001A6560"/>
    <w:rsid w:val="001A6D0C"/>
    <w:rsid w:val="001B0A23"/>
    <w:rsid w:val="001B27A8"/>
    <w:rsid w:val="001B5F6A"/>
    <w:rsid w:val="001B6E47"/>
    <w:rsid w:val="001B729E"/>
    <w:rsid w:val="001C11BF"/>
    <w:rsid w:val="001C226F"/>
    <w:rsid w:val="001C2EA3"/>
    <w:rsid w:val="001C444B"/>
    <w:rsid w:val="001C610F"/>
    <w:rsid w:val="001C6E49"/>
    <w:rsid w:val="001C75C5"/>
    <w:rsid w:val="001D40DD"/>
    <w:rsid w:val="001D7C4F"/>
    <w:rsid w:val="001E0063"/>
    <w:rsid w:val="001E0768"/>
    <w:rsid w:val="001E0812"/>
    <w:rsid w:val="001E2129"/>
    <w:rsid w:val="001E4434"/>
    <w:rsid w:val="001F1DE4"/>
    <w:rsid w:val="001F41E6"/>
    <w:rsid w:val="001F4B85"/>
    <w:rsid w:val="001F505A"/>
    <w:rsid w:val="001F56CD"/>
    <w:rsid w:val="002001F9"/>
    <w:rsid w:val="002011F9"/>
    <w:rsid w:val="00201297"/>
    <w:rsid w:val="002015C2"/>
    <w:rsid w:val="00201B45"/>
    <w:rsid w:val="00202FEF"/>
    <w:rsid w:val="00203849"/>
    <w:rsid w:val="002045E0"/>
    <w:rsid w:val="00206F41"/>
    <w:rsid w:val="00215045"/>
    <w:rsid w:val="0021629D"/>
    <w:rsid w:val="00217E82"/>
    <w:rsid w:val="00225016"/>
    <w:rsid w:val="00225FEF"/>
    <w:rsid w:val="00226020"/>
    <w:rsid w:val="0023024C"/>
    <w:rsid w:val="002367B6"/>
    <w:rsid w:val="00237990"/>
    <w:rsid w:val="00243BEA"/>
    <w:rsid w:val="002457F6"/>
    <w:rsid w:val="002504A0"/>
    <w:rsid w:val="00250E2C"/>
    <w:rsid w:val="00252160"/>
    <w:rsid w:val="00253463"/>
    <w:rsid w:val="002559D6"/>
    <w:rsid w:val="00256BC6"/>
    <w:rsid w:val="00257411"/>
    <w:rsid w:val="0026069F"/>
    <w:rsid w:val="0026321C"/>
    <w:rsid w:val="00265BE6"/>
    <w:rsid w:val="0026714C"/>
    <w:rsid w:val="0027142C"/>
    <w:rsid w:val="00272018"/>
    <w:rsid w:val="00273244"/>
    <w:rsid w:val="0027351B"/>
    <w:rsid w:val="0027431C"/>
    <w:rsid w:val="00276FC9"/>
    <w:rsid w:val="0028356F"/>
    <w:rsid w:val="002849AB"/>
    <w:rsid w:val="0029098B"/>
    <w:rsid w:val="002927E0"/>
    <w:rsid w:val="00293CA5"/>
    <w:rsid w:val="00294F92"/>
    <w:rsid w:val="00295556"/>
    <w:rsid w:val="00296664"/>
    <w:rsid w:val="00296AD0"/>
    <w:rsid w:val="00297321"/>
    <w:rsid w:val="00297D1F"/>
    <w:rsid w:val="00297EA5"/>
    <w:rsid w:val="002A36AA"/>
    <w:rsid w:val="002A3D8D"/>
    <w:rsid w:val="002A44BA"/>
    <w:rsid w:val="002A47AB"/>
    <w:rsid w:val="002A4D76"/>
    <w:rsid w:val="002A502D"/>
    <w:rsid w:val="002A5BB6"/>
    <w:rsid w:val="002A7AB7"/>
    <w:rsid w:val="002A7D88"/>
    <w:rsid w:val="002B679D"/>
    <w:rsid w:val="002C18F4"/>
    <w:rsid w:val="002C2E59"/>
    <w:rsid w:val="002C467F"/>
    <w:rsid w:val="002C51DF"/>
    <w:rsid w:val="002C5480"/>
    <w:rsid w:val="002C78F5"/>
    <w:rsid w:val="002D0BBE"/>
    <w:rsid w:val="002D11DD"/>
    <w:rsid w:val="002D1B3E"/>
    <w:rsid w:val="002D31E6"/>
    <w:rsid w:val="002D5097"/>
    <w:rsid w:val="002D6F19"/>
    <w:rsid w:val="002E3020"/>
    <w:rsid w:val="002E35D5"/>
    <w:rsid w:val="002E6C85"/>
    <w:rsid w:val="002E6DB3"/>
    <w:rsid w:val="002F10BD"/>
    <w:rsid w:val="003026E7"/>
    <w:rsid w:val="0030358B"/>
    <w:rsid w:val="003048CD"/>
    <w:rsid w:val="0030504F"/>
    <w:rsid w:val="003068FF"/>
    <w:rsid w:val="00310353"/>
    <w:rsid w:val="00310A92"/>
    <w:rsid w:val="003113C5"/>
    <w:rsid w:val="00311D5B"/>
    <w:rsid w:val="00312F8C"/>
    <w:rsid w:val="00313A0D"/>
    <w:rsid w:val="00320C87"/>
    <w:rsid w:val="00322DF9"/>
    <w:rsid w:val="003246F5"/>
    <w:rsid w:val="00326FCA"/>
    <w:rsid w:val="00330868"/>
    <w:rsid w:val="003310B4"/>
    <w:rsid w:val="00333050"/>
    <w:rsid w:val="003334D0"/>
    <w:rsid w:val="00333BF2"/>
    <w:rsid w:val="003340FB"/>
    <w:rsid w:val="00334113"/>
    <w:rsid w:val="0033442D"/>
    <w:rsid w:val="003363DE"/>
    <w:rsid w:val="00337181"/>
    <w:rsid w:val="003372C3"/>
    <w:rsid w:val="00340778"/>
    <w:rsid w:val="003428C9"/>
    <w:rsid w:val="00344FC7"/>
    <w:rsid w:val="00346097"/>
    <w:rsid w:val="003514AD"/>
    <w:rsid w:val="00352C8E"/>
    <w:rsid w:val="003531F1"/>
    <w:rsid w:val="003549DF"/>
    <w:rsid w:val="00361166"/>
    <w:rsid w:val="0036338F"/>
    <w:rsid w:val="003709B1"/>
    <w:rsid w:val="00372965"/>
    <w:rsid w:val="00372E78"/>
    <w:rsid w:val="00375836"/>
    <w:rsid w:val="0038136C"/>
    <w:rsid w:val="00381739"/>
    <w:rsid w:val="00381E13"/>
    <w:rsid w:val="0038446F"/>
    <w:rsid w:val="003852D1"/>
    <w:rsid w:val="00390F77"/>
    <w:rsid w:val="00391268"/>
    <w:rsid w:val="00392339"/>
    <w:rsid w:val="00392A39"/>
    <w:rsid w:val="00394363"/>
    <w:rsid w:val="0039575C"/>
    <w:rsid w:val="003A37E0"/>
    <w:rsid w:val="003A5E4F"/>
    <w:rsid w:val="003A64B6"/>
    <w:rsid w:val="003A6861"/>
    <w:rsid w:val="003B02EE"/>
    <w:rsid w:val="003B070D"/>
    <w:rsid w:val="003B106A"/>
    <w:rsid w:val="003B534A"/>
    <w:rsid w:val="003C1C02"/>
    <w:rsid w:val="003C2652"/>
    <w:rsid w:val="003C2C62"/>
    <w:rsid w:val="003C3FBD"/>
    <w:rsid w:val="003C43FC"/>
    <w:rsid w:val="003C49BA"/>
    <w:rsid w:val="003C4B68"/>
    <w:rsid w:val="003C54E1"/>
    <w:rsid w:val="003C5675"/>
    <w:rsid w:val="003C5F1C"/>
    <w:rsid w:val="003C7657"/>
    <w:rsid w:val="003D173C"/>
    <w:rsid w:val="003D1BDE"/>
    <w:rsid w:val="003D3007"/>
    <w:rsid w:val="003D3C1C"/>
    <w:rsid w:val="003D4367"/>
    <w:rsid w:val="003D5C72"/>
    <w:rsid w:val="003D6311"/>
    <w:rsid w:val="003D73C9"/>
    <w:rsid w:val="003E05EC"/>
    <w:rsid w:val="003E2B75"/>
    <w:rsid w:val="003E5CDA"/>
    <w:rsid w:val="003F2053"/>
    <w:rsid w:val="003F4877"/>
    <w:rsid w:val="003F6E44"/>
    <w:rsid w:val="003F786D"/>
    <w:rsid w:val="00400A7C"/>
    <w:rsid w:val="00401B5C"/>
    <w:rsid w:val="0040370E"/>
    <w:rsid w:val="00411C81"/>
    <w:rsid w:val="00412489"/>
    <w:rsid w:val="00412DEF"/>
    <w:rsid w:val="00414D35"/>
    <w:rsid w:val="00415D00"/>
    <w:rsid w:val="00417DD5"/>
    <w:rsid w:val="00421150"/>
    <w:rsid w:val="004233A3"/>
    <w:rsid w:val="00423406"/>
    <w:rsid w:val="004301B0"/>
    <w:rsid w:val="004323BC"/>
    <w:rsid w:val="00434242"/>
    <w:rsid w:val="00435053"/>
    <w:rsid w:val="004372CF"/>
    <w:rsid w:val="00437364"/>
    <w:rsid w:val="0044131B"/>
    <w:rsid w:val="004428FE"/>
    <w:rsid w:val="00444394"/>
    <w:rsid w:val="004474D7"/>
    <w:rsid w:val="004514EF"/>
    <w:rsid w:val="004520EF"/>
    <w:rsid w:val="00452BB9"/>
    <w:rsid w:val="004556F9"/>
    <w:rsid w:val="00457761"/>
    <w:rsid w:val="0046233F"/>
    <w:rsid w:val="004628E2"/>
    <w:rsid w:val="00462DF8"/>
    <w:rsid w:val="00463F50"/>
    <w:rsid w:val="00467FAA"/>
    <w:rsid w:val="00467FCC"/>
    <w:rsid w:val="00472940"/>
    <w:rsid w:val="00475D02"/>
    <w:rsid w:val="00480F49"/>
    <w:rsid w:val="00481784"/>
    <w:rsid w:val="00482B22"/>
    <w:rsid w:val="00490659"/>
    <w:rsid w:val="00491626"/>
    <w:rsid w:val="00492B3D"/>
    <w:rsid w:val="004A2FC7"/>
    <w:rsid w:val="004A307E"/>
    <w:rsid w:val="004A43C5"/>
    <w:rsid w:val="004A4ADF"/>
    <w:rsid w:val="004A7C83"/>
    <w:rsid w:val="004B0410"/>
    <w:rsid w:val="004B05C4"/>
    <w:rsid w:val="004B07DB"/>
    <w:rsid w:val="004B156B"/>
    <w:rsid w:val="004B36F6"/>
    <w:rsid w:val="004B42CD"/>
    <w:rsid w:val="004B6D7C"/>
    <w:rsid w:val="004C02D8"/>
    <w:rsid w:val="004C0492"/>
    <w:rsid w:val="004C326E"/>
    <w:rsid w:val="004C35AB"/>
    <w:rsid w:val="004C624D"/>
    <w:rsid w:val="004C74CB"/>
    <w:rsid w:val="004C7E6C"/>
    <w:rsid w:val="004D130C"/>
    <w:rsid w:val="004D4A26"/>
    <w:rsid w:val="004E17D0"/>
    <w:rsid w:val="004E1E2D"/>
    <w:rsid w:val="004E256F"/>
    <w:rsid w:val="004E266F"/>
    <w:rsid w:val="004E2FE4"/>
    <w:rsid w:val="004E44A9"/>
    <w:rsid w:val="004E4FC4"/>
    <w:rsid w:val="004F044A"/>
    <w:rsid w:val="004F67FE"/>
    <w:rsid w:val="004F72EE"/>
    <w:rsid w:val="004F750D"/>
    <w:rsid w:val="0050232D"/>
    <w:rsid w:val="00503D75"/>
    <w:rsid w:val="00505FE1"/>
    <w:rsid w:val="00506B3F"/>
    <w:rsid w:val="00506D76"/>
    <w:rsid w:val="005071FE"/>
    <w:rsid w:val="005075FD"/>
    <w:rsid w:val="0050798E"/>
    <w:rsid w:val="0051301E"/>
    <w:rsid w:val="00513431"/>
    <w:rsid w:val="0052181A"/>
    <w:rsid w:val="005218F9"/>
    <w:rsid w:val="0052410D"/>
    <w:rsid w:val="005302D6"/>
    <w:rsid w:val="005332E5"/>
    <w:rsid w:val="00534089"/>
    <w:rsid w:val="00540D44"/>
    <w:rsid w:val="0054277C"/>
    <w:rsid w:val="00542F61"/>
    <w:rsid w:val="005472BD"/>
    <w:rsid w:val="00547782"/>
    <w:rsid w:val="005503EF"/>
    <w:rsid w:val="00550F27"/>
    <w:rsid w:val="00552BF1"/>
    <w:rsid w:val="005535AA"/>
    <w:rsid w:val="00553676"/>
    <w:rsid w:val="00557DC8"/>
    <w:rsid w:val="0056348F"/>
    <w:rsid w:val="005644A7"/>
    <w:rsid w:val="00564932"/>
    <w:rsid w:val="005660C8"/>
    <w:rsid w:val="00567B85"/>
    <w:rsid w:val="00567CA8"/>
    <w:rsid w:val="00567E06"/>
    <w:rsid w:val="005711C3"/>
    <w:rsid w:val="00571416"/>
    <w:rsid w:val="00576A0A"/>
    <w:rsid w:val="00576C80"/>
    <w:rsid w:val="00577BA2"/>
    <w:rsid w:val="0058141F"/>
    <w:rsid w:val="00583AD1"/>
    <w:rsid w:val="0058426C"/>
    <w:rsid w:val="005917E1"/>
    <w:rsid w:val="00591CE9"/>
    <w:rsid w:val="00593812"/>
    <w:rsid w:val="00594102"/>
    <w:rsid w:val="005961BA"/>
    <w:rsid w:val="00596D39"/>
    <w:rsid w:val="00597E05"/>
    <w:rsid w:val="005A2BFF"/>
    <w:rsid w:val="005A3D5E"/>
    <w:rsid w:val="005A3ED1"/>
    <w:rsid w:val="005A65A3"/>
    <w:rsid w:val="005B169D"/>
    <w:rsid w:val="005B241F"/>
    <w:rsid w:val="005B2925"/>
    <w:rsid w:val="005B46A0"/>
    <w:rsid w:val="005B4880"/>
    <w:rsid w:val="005B671A"/>
    <w:rsid w:val="005B77FA"/>
    <w:rsid w:val="005C0AED"/>
    <w:rsid w:val="005C1731"/>
    <w:rsid w:val="005C1A08"/>
    <w:rsid w:val="005C21AA"/>
    <w:rsid w:val="005C2DC4"/>
    <w:rsid w:val="005C3AAD"/>
    <w:rsid w:val="005C78A8"/>
    <w:rsid w:val="005D161F"/>
    <w:rsid w:val="005D1B59"/>
    <w:rsid w:val="005D1D16"/>
    <w:rsid w:val="005D5BCF"/>
    <w:rsid w:val="005D629E"/>
    <w:rsid w:val="005D649A"/>
    <w:rsid w:val="005D704D"/>
    <w:rsid w:val="005E272F"/>
    <w:rsid w:val="005E78B4"/>
    <w:rsid w:val="005F19D3"/>
    <w:rsid w:val="005F246D"/>
    <w:rsid w:val="005F7216"/>
    <w:rsid w:val="005F72C4"/>
    <w:rsid w:val="005F7870"/>
    <w:rsid w:val="005F798F"/>
    <w:rsid w:val="00600D7B"/>
    <w:rsid w:val="00603CF9"/>
    <w:rsid w:val="0060502A"/>
    <w:rsid w:val="006057FB"/>
    <w:rsid w:val="00605B81"/>
    <w:rsid w:val="00606D7F"/>
    <w:rsid w:val="00612CBC"/>
    <w:rsid w:val="00613EC2"/>
    <w:rsid w:val="006148AD"/>
    <w:rsid w:val="0061628D"/>
    <w:rsid w:val="00616780"/>
    <w:rsid w:val="00617E67"/>
    <w:rsid w:val="006201C9"/>
    <w:rsid w:val="0062063A"/>
    <w:rsid w:val="00620694"/>
    <w:rsid w:val="006237CC"/>
    <w:rsid w:val="006240A2"/>
    <w:rsid w:val="00624188"/>
    <w:rsid w:val="00624485"/>
    <w:rsid w:val="0063007D"/>
    <w:rsid w:val="00631525"/>
    <w:rsid w:val="006322F7"/>
    <w:rsid w:val="0063263E"/>
    <w:rsid w:val="00633744"/>
    <w:rsid w:val="00635347"/>
    <w:rsid w:val="00640672"/>
    <w:rsid w:val="006407C2"/>
    <w:rsid w:val="006413AA"/>
    <w:rsid w:val="00643874"/>
    <w:rsid w:val="00646CD2"/>
    <w:rsid w:val="00650C55"/>
    <w:rsid w:val="006560AA"/>
    <w:rsid w:val="006565B8"/>
    <w:rsid w:val="00660096"/>
    <w:rsid w:val="00663100"/>
    <w:rsid w:val="00665F54"/>
    <w:rsid w:val="00666A5A"/>
    <w:rsid w:val="0066739D"/>
    <w:rsid w:val="00667987"/>
    <w:rsid w:val="00670F16"/>
    <w:rsid w:val="0067290D"/>
    <w:rsid w:val="00674DAF"/>
    <w:rsid w:val="00680D08"/>
    <w:rsid w:val="006814EE"/>
    <w:rsid w:val="00686DA9"/>
    <w:rsid w:val="00687AD6"/>
    <w:rsid w:val="00690C7E"/>
    <w:rsid w:val="00692EF4"/>
    <w:rsid w:val="00694B2A"/>
    <w:rsid w:val="00695099"/>
    <w:rsid w:val="00695BD3"/>
    <w:rsid w:val="006A22A3"/>
    <w:rsid w:val="006A308D"/>
    <w:rsid w:val="006A38A8"/>
    <w:rsid w:val="006A4BCF"/>
    <w:rsid w:val="006B470E"/>
    <w:rsid w:val="006B51C1"/>
    <w:rsid w:val="006B5837"/>
    <w:rsid w:val="006B6165"/>
    <w:rsid w:val="006B6424"/>
    <w:rsid w:val="006C1F89"/>
    <w:rsid w:val="006C46C4"/>
    <w:rsid w:val="006C5EDC"/>
    <w:rsid w:val="006C6229"/>
    <w:rsid w:val="006C6774"/>
    <w:rsid w:val="006C6E14"/>
    <w:rsid w:val="006C6F02"/>
    <w:rsid w:val="006D07E9"/>
    <w:rsid w:val="006D1627"/>
    <w:rsid w:val="006D19E6"/>
    <w:rsid w:val="006D1C72"/>
    <w:rsid w:val="006D373E"/>
    <w:rsid w:val="006D581B"/>
    <w:rsid w:val="006D6DD7"/>
    <w:rsid w:val="006E0C61"/>
    <w:rsid w:val="006E139F"/>
    <w:rsid w:val="006E38B4"/>
    <w:rsid w:val="006E431E"/>
    <w:rsid w:val="006E475A"/>
    <w:rsid w:val="006E480F"/>
    <w:rsid w:val="006E55F3"/>
    <w:rsid w:val="006E5EE8"/>
    <w:rsid w:val="006F03E5"/>
    <w:rsid w:val="006F1407"/>
    <w:rsid w:val="006F152D"/>
    <w:rsid w:val="006F1558"/>
    <w:rsid w:val="006F1A7F"/>
    <w:rsid w:val="006F42F5"/>
    <w:rsid w:val="006F54EF"/>
    <w:rsid w:val="006F58E3"/>
    <w:rsid w:val="006F69A1"/>
    <w:rsid w:val="00700955"/>
    <w:rsid w:val="0070138A"/>
    <w:rsid w:val="00701B71"/>
    <w:rsid w:val="00702201"/>
    <w:rsid w:val="00702563"/>
    <w:rsid w:val="0070490F"/>
    <w:rsid w:val="007057AA"/>
    <w:rsid w:val="00705B9C"/>
    <w:rsid w:val="0070768D"/>
    <w:rsid w:val="00707F56"/>
    <w:rsid w:val="007105CC"/>
    <w:rsid w:val="00712035"/>
    <w:rsid w:val="0071247E"/>
    <w:rsid w:val="0071434B"/>
    <w:rsid w:val="00716B49"/>
    <w:rsid w:val="00717122"/>
    <w:rsid w:val="00720310"/>
    <w:rsid w:val="00721BEA"/>
    <w:rsid w:val="00721EBF"/>
    <w:rsid w:val="007230E5"/>
    <w:rsid w:val="00724B8A"/>
    <w:rsid w:val="00724E00"/>
    <w:rsid w:val="007309F1"/>
    <w:rsid w:val="00734AAF"/>
    <w:rsid w:val="00735387"/>
    <w:rsid w:val="00736676"/>
    <w:rsid w:val="00737058"/>
    <w:rsid w:val="007376DB"/>
    <w:rsid w:val="00741518"/>
    <w:rsid w:val="00743180"/>
    <w:rsid w:val="00744AF5"/>
    <w:rsid w:val="00744C07"/>
    <w:rsid w:val="00745B97"/>
    <w:rsid w:val="00746465"/>
    <w:rsid w:val="0075044B"/>
    <w:rsid w:val="00750D15"/>
    <w:rsid w:val="00753DE1"/>
    <w:rsid w:val="00756165"/>
    <w:rsid w:val="007642E0"/>
    <w:rsid w:val="0077584E"/>
    <w:rsid w:val="00775B42"/>
    <w:rsid w:val="00775F5C"/>
    <w:rsid w:val="00780262"/>
    <w:rsid w:val="007810F3"/>
    <w:rsid w:val="007814B4"/>
    <w:rsid w:val="00781995"/>
    <w:rsid w:val="00782015"/>
    <w:rsid w:val="00784BD9"/>
    <w:rsid w:val="007857F7"/>
    <w:rsid w:val="00790155"/>
    <w:rsid w:val="00793BF1"/>
    <w:rsid w:val="007962EE"/>
    <w:rsid w:val="0079726F"/>
    <w:rsid w:val="00797479"/>
    <w:rsid w:val="007977F6"/>
    <w:rsid w:val="007A1201"/>
    <w:rsid w:val="007A1C74"/>
    <w:rsid w:val="007A316F"/>
    <w:rsid w:val="007A7E69"/>
    <w:rsid w:val="007A7FA6"/>
    <w:rsid w:val="007B1E2F"/>
    <w:rsid w:val="007B3512"/>
    <w:rsid w:val="007B6C29"/>
    <w:rsid w:val="007B72D0"/>
    <w:rsid w:val="007C2339"/>
    <w:rsid w:val="007C4D29"/>
    <w:rsid w:val="007C7C84"/>
    <w:rsid w:val="007C7FCE"/>
    <w:rsid w:val="007D0011"/>
    <w:rsid w:val="007D0BA4"/>
    <w:rsid w:val="007D0FE5"/>
    <w:rsid w:val="007D7826"/>
    <w:rsid w:val="007E14E9"/>
    <w:rsid w:val="007E3531"/>
    <w:rsid w:val="007E47B2"/>
    <w:rsid w:val="007E5CD9"/>
    <w:rsid w:val="007E646D"/>
    <w:rsid w:val="007F3DD6"/>
    <w:rsid w:val="007F3F7B"/>
    <w:rsid w:val="007F5468"/>
    <w:rsid w:val="007F5740"/>
    <w:rsid w:val="007F57ED"/>
    <w:rsid w:val="007F681A"/>
    <w:rsid w:val="00801853"/>
    <w:rsid w:val="00802A61"/>
    <w:rsid w:val="008051F8"/>
    <w:rsid w:val="00805707"/>
    <w:rsid w:val="008071FE"/>
    <w:rsid w:val="008116E2"/>
    <w:rsid w:val="008139B3"/>
    <w:rsid w:val="00813AED"/>
    <w:rsid w:val="00815A1D"/>
    <w:rsid w:val="00815F4E"/>
    <w:rsid w:val="00816D90"/>
    <w:rsid w:val="008171C8"/>
    <w:rsid w:val="00817B22"/>
    <w:rsid w:val="00817B58"/>
    <w:rsid w:val="008211CF"/>
    <w:rsid w:val="00823265"/>
    <w:rsid w:val="00823D94"/>
    <w:rsid w:val="00830646"/>
    <w:rsid w:val="00831114"/>
    <w:rsid w:val="00835920"/>
    <w:rsid w:val="00836A9A"/>
    <w:rsid w:val="00841BAF"/>
    <w:rsid w:val="0084296D"/>
    <w:rsid w:val="008501E9"/>
    <w:rsid w:val="00850F81"/>
    <w:rsid w:val="008510C5"/>
    <w:rsid w:val="00852680"/>
    <w:rsid w:val="00856AC4"/>
    <w:rsid w:val="00857506"/>
    <w:rsid w:val="00866897"/>
    <w:rsid w:val="008711FC"/>
    <w:rsid w:val="0087463A"/>
    <w:rsid w:val="00874EDA"/>
    <w:rsid w:val="00877AC7"/>
    <w:rsid w:val="00883A95"/>
    <w:rsid w:val="00883DD1"/>
    <w:rsid w:val="00886E61"/>
    <w:rsid w:val="00890F92"/>
    <w:rsid w:val="008958DE"/>
    <w:rsid w:val="008965C4"/>
    <w:rsid w:val="00897066"/>
    <w:rsid w:val="008A02C5"/>
    <w:rsid w:val="008A02FF"/>
    <w:rsid w:val="008A0672"/>
    <w:rsid w:val="008A1A9E"/>
    <w:rsid w:val="008A2ACE"/>
    <w:rsid w:val="008A2C26"/>
    <w:rsid w:val="008A45CB"/>
    <w:rsid w:val="008A45DE"/>
    <w:rsid w:val="008A62A3"/>
    <w:rsid w:val="008B1691"/>
    <w:rsid w:val="008B57C2"/>
    <w:rsid w:val="008B63F3"/>
    <w:rsid w:val="008C2B97"/>
    <w:rsid w:val="008C6613"/>
    <w:rsid w:val="008D2A15"/>
    <w:rsid w:val="008D5338"/>
    <w:rsid w:val="008D7CE8"/>
    <w:rsid w:val="008E07A7"/>
    <w:rsid w:val="008E3BE2"/>
    <w:rsid w:val="008E56B7"/>
    <w:rsid w:val="008E6278"/>
    <w:rsid w:val="008F7D5C"/>
    <w:rsid w:val="00903085"/>
    <w:rsid w:val="00906E9B"/>
    <w:rsid w:val="00907FB1"/>
    <w:rsid w:val="00911CFD"/>
    <w:rsid w:val="009134BB"/>
    <w:rsid w:val="00916ACF"/>
    <w:rsid w:val="00920964"/>
    <w:rsid w:val="00921B1A"/>
    <w:rsid w:val="00922FC4"/>
    <w:rsid w:val="00923F6A"/>
    <w:rsid w:val="00924504"/>
    <w:rsid w:val="00927915"/>
    <w:rsid w:val="009310B6"/>
    <w:rsid w:val="00931965"/>
    <w:rsid w:val="0093399C"/>
    <w:rsid w:val="00934B4C"/>
    <w:rsid w:val="009422F7"/>
    <w:rsid w:val="009426C4"/>
    <w:rsid w:val="0094486A"/>
    <w:rsid w:val="00945CC5"/>
    <w:rsid w:val="00946A21"/>
    <w:rsid w:val="00950033"/>
    <w:rsid w:val="00950906"/>
    <w:rsid w:val="009555D7"/>
    <w:rsid w:val="00963471"/>
    <w:rsid w:val="009662C7"/>
    <w:rsid w:val="0097199C"/>
    <w:rsid w:val="00977E3A"/>
    <w:rsid w:val="00982D38"/>
    <w:rsid w:val="00983D1D"/>
    <w:rsid w:val="0098527F"/>
    <w:rsid w:val="0098585F"/>
    <w:rsid w:val="00985CE5"/>
    <w:rsid w:val="00987286"/>
    <w:rsid w:val="0099075C"/>
    <w:rsid w:val="00991F66"/>
    <w:rsid w:val="00994882"/>
    <w:rsid w:val="0099682D"/>
    <w:rsid w:val="009972E3"/>
    <w:rsid w:val="009A05C9"/>
    <w:rsid w:val="009A0A4D"/>
    <w:rsid w:val="009A3DC2"/>
    <w:rsid w:val="009A5A30"/>
    <w:rsid w:val="009A5B6F"/>
    <w:rsid w:val="009B1963"/>
    <w:rsid w:val="009B4A4D"/>
    <w:rsid w:val="009B6117"/>
    <w:rsid w:val="009B7EC9"/>
    <w:rsid w:val="009C0243"/>
    <w:rsid w:val="009C37ED"/>
    <w:rsid w:val="009C3BCD"/>
    <w:rsid w:val="009C4710"/>
    <w:rsid w:val="009C4B94"/>
    <w:rsid w:val="009C5622"/>
    <w:rsid w:val="009E1C45"/>
    <w:rsid w:val="009E34CB"/>
    <w:rsid w:val="009E376F"/>
    <w:rsid w:val="009E37D4"/>
    <w:rsid w:val="009E3D62"/>
    <w:rsid w:val="009E406E"/>
    <w:rsid w:val="009E733B"/>
    <w:rsid w:val="009F57AA"/>
    <w:rsid w:val="00A0184D"/>
    <w:rsid w:val="00A0262B"/>
    <w:rsid w:val="00A031B5"/>
    <w:rsid w:val="00A03C02"/>
    <w:rsid w:val="00A0515B"/>
    <w:rsid w:val="00A0574B"/>
    <w:rsid w:val="00A06249"/>
    <w:rsid w:val="00A07C69"/>
    <w:rsid w:val="00A108A2"/>
    <w:rsid w:val="00A11351"/>
    <w:rsid w:val="00A11DD4"/>
    <w:rsid w:val="00A13CB2"/>
    <w:rsid w:val="00A15983"/>
    <w:rsid w:val="00A17C3A"/>
    <w:rsid w:val="00A25264"/>
    <w:rsid w:val="00A370FF"/>
    <w:rsid w:val="00A37352"/>
    <w:rsid w:val="00A4243B"/>
    <w:rsid w:val="00A430BB"/>
    <w:rsid w:val="00A448B9"/>
    <w:rsid w:val="00A4509C"/>
    <w:rsid w:val="00A458D1"/>
    <w:rsid w:val="00A460FC"/>
    <w:rsid w:val="00A505F4"/>
    <w:rsid w:val="00A50AED"/>
    <w:rsid w:val="00A50E5E"/>
    <w:rsid w:val="00A6313C"/>
    <w:rsid w:val="00A63AF7"/>
    <w:rsid w:val="00A65133"/>
    <w:rsid w:val="00A657D4"/>
    <w:rsid w:val="00A66E60"/>
    <w:rsid w:val="00A718C3"/>
    <w:rsid w:val="00A72EB5"/>
    <w:rsid w:val="00A73FE5"/>
    <w:rsid w:val="00A7483A"/>
    <w:rsid w:val="00A75290"/>
    <w:rsid w:val="00A75B94"/>
    <w:rsid w:val="00A81062"/>
    <w:rsid w:val="00A833D5"/>
    <w:rsid w:val="00A83C01"/>
    <w:rsid w:val="00A843E0"/>
    <w:rsid w:val="00A84A8F"/>
    <w:rsid w:val="00A86AF4"/>
    <w:rsid w:val="00A86B21"/>
    <w:rsid w:val="00A8712E"/>
    <w:rsid w:val="00A87603"/>
    <w:rsid w:val="00A87E9F"/>
    <w:rsid w:val="00A90285"/>
    <w:rsid w:val="00A92964"/>
    <w:rsid w:val="00A94414"/>
    <w:rsid w:val="00A951C6"/>
    <w:rsid w:val="00A96A12"/>
    <w:rsid w:val="00A96C95"/>
    <w:rsid w:val="00AA1FBF"/>
    <w:rsid w:val="00AA2BB1"/>
    <w:rsid w:val="00AA334F"/>
    <w:rsid w:val="00AA48DE"/>
    <w:rsid w:val="00AB3A6E"/>
    <w:rsid w:val="00AB4926"/>
    <w:rsid w:val="00AB6496"/>
    <w:rsid w:val="00AB7C39"/>
    <w:rsid w:val="00AC3C9D"/>
    <w:rsid w:val="00AD0B1C"/>
    <w:rsid w:val="00AD0B97"/>
    <w:rsid w:val="00AD1BA2"/>
    <w:rsid w:val="00AD246D"/>
    <w:rsid w:val="00AD4793"/>
    <w:rsid w:val="00AE2C24"/>
    <w:rsid w:val="00AE4F02"/>
    <w:rsid w:val="00AE5039"/>
    <w:rsid w:val="00AF18FE"/>
    <w:rsid w:val="00AF3EE6"/>
    <w:rsid w:val="00AF601F"/>
    <w:rsid w:val="00AF6485"/>
    <w:rsid w:val="00AF689E"/>
    <w:rsid w:val="00AF732E"/>
    <w:rsid w:val="00B0399E"/>
    <w:rsid w:val="00B104B8"/>
    <w:rsid w:val="00B15CDD"/>
    <w:rsid w:val="00B15EC7"/>
    <w:rsid w:val="00B16E75"/>
    <w:rsid w:val="00B20E27"/>
    <w:rsid w:val="00B2645D"/>
    <w:rsid w:val="00B305D5"/>
    <w:rsid w:val="00B33C3C"/>
    <w:rsid w:val="00B346E2"/>
    <w:rsid w:val="00B36B31"/>
    <w:rsid w:val="00B42956"/>
    <w:rsid w:val="00B43446"/>
    <w:rsid w:val="00B450EE"/>
    <w:rsid w:val="00B46961"/>
    <w:rsid w:val="00B5076E"/>
    <w:rsid w:val="00B50C0F"/>
    <w:rsid w:val="00B50F14"/>
    <w:rsid w:val="00B51877"/>
    <w:rsid w:val="00B53A82"/>
    <w:rsid w:val="00B57718"/>
    <w:rsid w:val="00B57A9C"/>
    <w:rsid w:val="00B57AD5"/>
    <w:rsid w:val="00B60EBE"/>
    <w:rsid w:val="00B62404"/>
    <w:rsid w:val="00B62728"/>
    <w:rsid w:val="00B6387F"/>
    <w:rsid w:val="00B63D0F"/>
    <w:rsid w:val="00B64D5A"/>
    <w:rsid w:val="00B66C55"/>
    <w:rsid w:val="00B66DC8"/>
    <w:rsid w:val="00B676E9"/>
    <w:rsid w:val="00B6778F"/>
    <w:rsid w:val="00B75B28"/>
    <w:rsid w:val="00B7646D"/>
    <w:rsid w:val="00B77E0A"/>
    <w:rsid w:val="00B806AB"/>
    <w:rsid w:val="00B827EB"/>
    <w:rsid w:val="00B85759"/>
    <w:rsid w:val="00B872CD"/>
    <w:rsid w:val="00B90026"/>
    <w:rsid w:val="00B90BE5"/>
    <w:rsid w:val="00B924D5"/>
    <w:rsid w:val="00B95893"/>
    <w:rsid w:val="00B96C8E"/>
    <w:rsid w:val="00B978B6"/>
    <w:rsid w:val="00B978F2"/>
    <w:rsid w:val="00BA1B7E"/>
    <w:rsid w:val="00BA1ED8"/>
    <w:rsid w:val="00BA596C"/>
    <w:rsid w:val="00BA5FD0"/>
    <w:rsid w:val="00BA6320"/>
    <w:rsid w:val="00BA76CE"/>
    <w:rsid w:val="00BB0AB5"/>
    <w:rsid w:val="00BB2A2E"/>
    <w:rsid w:val="00BB2B56"/>
    <w:rsid w:val="00BB2EE6"/>
    <w:rsid w:val="00BB39AA"/>
    <w:rsid w:val="00BB5C7F"/>
    <w:rsid w:val="00BC096A"/>
    <w:rsid w:val="00BC3AAD"/>
    <w:rsid w:val="00BC5761"/>
    <w:rsid w:val="00BC5F93"/>
    <w:rsid w:val="00BC7607"/>
    <w:rsid w:val="00BC7DB7"/>
    <w:rsid w:val="00BD23C9"/>
    <w:rsid w:val="00BD5833"/>
    <w:rsid w:val="00BD636A"/>
    <w:rsid w:val="00BD7126"/>
    <w:rsid w:val="00BE07DF"/>
    <w:rsid w:val="00BE2DAC"/>
    <w:rsid w:val="00BE331D"/>
    <w:rsid w:val="00BE3F02"/>
    <w:rsid w:val="00BE656E"/>
    <w:rsid w:val="00BE6D02"/>
    <w:rsid w:val="00BE7483"/>
    <w:rsid w:val="00BE78D4"/>
    <w:rsid w:val="00BF0CF7"/>
    <w:rsid w:val="00BF3169"/>
    <w:rsid w:val="00BF548B"/>
    <w:rsid w:val="00C0064F"/>
    <w:rsid w:val="00C01FDD"/>
    <w:rsid w:val="00C0207B"/>
    <w:rsid w:val="00C02BA9"/>
    <w:rsid w:val="00C03891"/>
    <w:rsid w:val="00C041BD"/>
    <w:rsid w:val="00C04805"/>
    <w:rsid w:val="00C048A0"/>
    <w:rsid w:val="00C07E4E"/>
    <w:rsid w:val="00C17BAA"/>
    <w:rsid w:val="00C316E1"/>
    <w:rsid w:val="00C33655"/>
    <w:rsid w:val="00C34548"/>
    <w:rsid w:val="00C40371"/>
    <w:rsid w:val="00C4590C"/>
    <w:rsid w:val="00C4758E"/>
    <w:rsid w:val="00C51A3D"/>
    <w:rsid w:val="00C5270A"/>
    <w:rsid w:val="00C55E5A"/>
    <w:rsid w:val="00C568F4"/>
    <w:rsid w:val="00C604D4"/>
    <w:rsid w:val="00C6126A"/>
    <w:rsid w:val="00C62A7C"/>
    <w:rsid w:val="00C667D7"/>
    <w:rsid w:val="00C67C4C"/>
    <w:rsid w:val="00C71420"/>
    <w:rsid w:val="00C75679"/>
    <w:rsid w:val="00C770FE"/>
    <w:rsid w:val="00C778CB"/>
    <w:rsid w:val="00C77BD4"/>
    <w:rsid w:val="00C8131B"/>
    <w:rsid w:val="00C819AF"/>
    <w:rsid w:val="00C819C0"/>
    <w:rsid w:val="00C82FDA"/>
    <w:rsid w:val="00C85BCE"/>
    <w:rsid w:val="00C902C2"/>
    <w:rsid w:val="00C96FD5"/>
    <w:rsid w:val="00C97B76"/>
    <w:rsid w:val="00CA0AB1"/>
    <w:rsid w:val="00CA0CBE"/>
    <w:rsid w:val="00CA2192"/>
    <w:rsid w:val="00CA2B0A"/>
    <w:rsid w:val="00CA3FBD"/>
    <w:rsid w:val="00CA4E1A"/>
    <w:rsid w:val="00CA75BB"/>
    <w:rsid w:val="00CB05E4"/>
    <w:rsid w:val="00CB429D"/>
    <w:rsid w:val="00CB60B2"/>
    <w:rsid w:val="00CB797F"/>
    <w:rsid w:val="00CC2F18"/>
    <w:rsid w:val="00CC5B87"/>
    <w:rsid w:val="00CC6B7F"/>
    <w:rsid w:val="00CC7928"/>
    <w:rsid w:val="00CD0040"/>
    <w:rsid w:val="00CD0F28"/>
    <w:rsid w:val="00CD4A77"/>
    <w:rsid w:val="00CD5550"/>
    <w:rsid w:val="00CD6A03"/>
    <w:rsid w:val="00CE0581"/>
    <w:rsid w:val="00CE12B8"/>
    <w:rsid w:val="00CE1A17"/>
    <w:rsid w:val="00CE2EAF"/>
    <w:rsid w:val="00CE3697"/>
    <w:rsid w:val="00CE38C5"/>
    <w:rsid w:val="00CE5080"/>
    <w:rsid w:val="00CE600F"/>
    <w:rsid w:val="00CF04FF"/>
    <w:rsid w:val="00CF1EEA"/>
    <w:rsid w:val="00CF2442"/>
    <w:rsid w:val="00CF46FC"/>
    <w:rsid w:val="00CF7435"/>
    <w:rsid w:val="00D0015F"/>
    <w:rsid w:val="00D013B7"/>
    <w:rsid w:val="00D01479"/>
    <w:rsid w:val="00D01D07"/>
    <w:rsid w:val="00D021FC"/>
    <w:rsid w:val="00D03108"/>
    <w:rsid w:val="00D03A08"/>
    <w:rsid w:val="00D04D89"/>
    <w:rsid w:val="00D15AFC"/>
    <w:rsid w:val="00D17504"/>
    <w:rsid w:val="00D20FAE"/>
    <w:rsid w:val="00D21015"/>
    <w:rsid w:val="00D211FB"/>
    <w:rsid w:val="00D232F3"/>
    <w:rsid w:val="00D23426"/>
    <w:rsid w:val="00D24A1C"/>
    <w:rsid w:val="00D27400"/>
    <w:rsid w:val="00D34C17"/>
    <w:rsid w:val="00D34D53"/>
    <w:rsid w:val="00D34ED4"/>
    <w:rsid w:val="00D3659E"/>
    <w:rsid w:val="00D45758"/>
    <w:rsid w:val="00D47839"/>
    <w:rsid w:val="00D500FC"/>
    <w:rsid w:val="00D5076F"/>
    <w:rsid w:val="00D50941"/>
    <w:rsid w:val="00D513A3"/>
    <w:rsid w:val="00D52457"/>
    <w:rsid w:val="00D5272F"/>
    <w:rsid w:val="00D55560"/>
    <w:rsid w:val="00D61041"/>
    <w:rsid w:val="00D64DAB"/>
    <w:rsid w:val="00D67119"/>
    <w:rsid w:val="00D72978"/>
    <w:rsid w:val="00D73337"/>
    <w:rsid w:val="00D7333F"/>
    <w:rsid w:val="00D75DC7"/>
    <w:rsid w:val="00D77F2D"/>
    <w:rsid w:val="00D80083"/>
    <w:rsid w:val="00D80783"/>
    <w:rsid w:val="00D81E60"/>
    <w:rsid w:val="00D823B5"/>
    <w:rsid w:val="00D82FBA"/>
    <w:rsid w:val="00D8439C"/>
    <w:rsid w:val="00D90229"/>
    <w:rsid w:val="00D9030A"/>
    <w:rsid w:val="00D918DA"/>
    <w:rsid w:val="00D9226A"/>
    <w:rsid w:val="00D925AB"/>
    <w:rsid w:val="00D94335"/>
    <w:rsid w:val="00D9466D"/>
    <w:rsid w:val="00D968BB"/>
    <w:rsid w:val="00D96EAE"/>
    <w:rsid w:val="00DA36F7"/>
    <w:rsid w:val="00DA389B"/>
    <w:rsid w:val="00DA42BD"/>
    <w:rsid w:val="00DA55B9"/>
    <w:rsid w:val="00DB260D"/>
    <w:rsid w:val="00DB2808"/>
    <w:rsid w:val="00DB3B2A"/>
    <w:rsid w:val="00DB402B"/>
    <w:rsid w:val="00DB559C"/>
    <w:rsid w:val="00DB6AB0"/>
    <w:rsid w:val="00DB6C16"/>
    <w:rsid w:val="00DB771E"/>
    <w:rsid w:val="00DB780A"/>
    <w:rsid w:val="00DC10B7"/>
    <w:rsid w:val="00DC3E59"/>
    <w:rsid w:val="00DC7409"/>
    <w:rsid w:val="00DC7565"/>
    <w:rsid w:val="00DC7DE6"/>
    <w:rsid w:val="00DD0329"/>
    <w:rsid w:val="00DD2432"/>
    <w:rsid w:val="00DD3F70"/>
    <w:rsid w:val="00DD5860"/>
    <w:rsid w:val="00DE173C"/>
    <w:rsid w:val="00DE6F16"/>
    <w:rsid w:val="00DE7E6E"/>
    <w:rsid w:val="00DF11BF"/>
    <w:rsid w:val="00DF3DF3"/>
    <w:rsid w:val="00DF4F2E"/>
    <w:rsid w:val="00DF60C2"/>
    <w:rsid w:val="00DF7356"/>
    <w:rsid w:val="00E02B49"/>
    <w:rsid w:val="00E02FAE"/>
    <w:rsid w:val="00E04E3A"/>
    <w:rsid w:val="00E05F22"/>
    <w:rsid w:val="00E07509"/>
    <w:rsid w:val="00E101D2"/>
    <w:rsid w:val="00E10F1F"/>
    <w:rsid w:val="00E11CD7"/>
    <w:rsid w:val="00E121A9"/>
    <w:rsid w:val="00E124F3"/>
    <w:rsid w:val="00E15E47"/>
    <w:rsid w:val="00E16457"/>
    <w:rsid w:val="00E2100A"/>
    <w:rsid w:val="00E24239"/>
    <w:rsid w:val="00E31DFF"/>
    <w:rsid w:val="00E36031"/>
    <w:rsid w:val="00E435CB"/>
    <w:rsid w:val="00E437DD"/>
    <w:rsid w:val="00E46B4B"/>
    <w:rsid w:val="00E4754C"/>
    <w:rsid w:val="00E502D7"/>
    <w:rsid w:val="00E5148E"/>
    <w:rsid w:val="00E5380E"/>
    <w:rsid w:val="00E55E09"/>
    <w:rsid w:val="00E565CD"/>
    <w:rsid w:val="00E56727"/>
    <w:rsid w:val="00E56BEB"/>
    <w:rsid w:val="00E57EC2"/>
    <w:rsid w:val="00E66886"/>
    <w:rsid w:val="00E66B42"/>
    <w:rsid w:val="00E66E6C"/>
    <w:rsid w:val="00E700E3"/>
    <w:rsid w:val="00E71129"/>
    <w:rsid w:val="00E75444"/>
    <w:rsid w:val="00E754E5"/>
    <w:rsid w:val="00E76792"/>
    <w:rsid w:val="00E76D4C"/>
    <w:rsid w:val="00E8010F"/>
    <w:rsid w:val="00E8411E"/>
    <w:rsid w:val="00E8549B"/>
    <w:rsid w:val="00E86186"/>
    <w:rsid w:val="00E868B5"/>
    <w:rsid w:val="00E94174"/>
    <w:rsid w:val="00E94884"/>
    <w:rsid w:val="00E94919"/>
    <w:rsid w:val="00E94FE0"/>
    <w:rsid w:val="00E979AA"/>
    <w:rsid w:val="00E97A59"/>
    <w:rsid w:val="00E97F62"/>
    <w:rsid w:val="00EA3100"/>
    <w:rsid w:val="00EA7C58"/>
    <w:rsid w:val="00EB0CD9"/>
    <w:rsid w:val="00EB11AE"/>
    <w:rsid w:val="00EB264F"/>
    <w:rsid w:val="00EB2EB1"/>
    <w:rsid w:val="00EB53DB"/>
    <w:rsid w:val="00EB5525"/>
    <w:rsid w:val="00EB575A"/>
    <w:rsid w:val="00EB582B"/>
    <w:rsid w:val="00EB6610"/>
    <w:rsid w:val="00EB6CDB"/>
    <w:rsid w:val="00EB70F5"/>
    <w:rsid w:val="00EC0E5C"/>
    <w:rsid w:val="00EC1335"/>
    <w:rsid w:val="00EC3299"/>
    <w:rsid w:val="00EC5B36"/>
    <w:rsid w:val="00EC6558"/>
    <w:rsid w:val="00EC6CB1"/>
    <w:rsid w:val="00ED1F2D"/>
    <w:rsid w:val="00ED262C"/>
    <w:rsid w:val="00ED5746"/>
    <w:rsid w:val="00ED5809"/>
    <w:rsid w:val="00EE5D08"/>
    <w:rsid w:val="00EE6AC0"/>
    <w:rsid w:val="00EF0F81"/>
    <w:rsid w:val="00EF137C"/>
    <w:rsid w:val="00EF1899"/>
    <w:rsid w:val="00EF6335"/>
    <w:rsid w:val="00EF6F5A"/>
    <w:rsid w:val="00F10979"/>
    <w:rsid w:val="00F111F7"/>
    <w:rsid w:val="00F11EF1"/>
    <w:rsid w:val="00F128FA"/>
    <w:rsid w:val="00F135ED"/>
    <w:rsid w:val="00F14FEB"/>
    <w:rsid w:val="00F23B96"/>
    <w:rsid w:val="00F24F78"/>
    <w:rsid w:val="00F25365"/>
    <w:rsid w:val="00F25EE7"/>
    <w:rsid w:val="00F30107"/>
    <w:rsid w:val="00F30271"/>
    <w:rsid w:val="00F357AA"/>
    <w:rsid w:val="00F3638C"/>
    <w:rsid w:val="00F36AE9"/>
    <w:rsid w:val="00F3792E"/>
    <w:rsid w:val="00F37D88"/>
    <w:rsid w:val="00F37ED2"/>
    <w:rsid w:val="00F406C5"/>
    <w:rsid w:val="00F41828"/>
    <w:rsid w:val="00F43A74"/>
    <w:rsid w:val="00F43B8A"/>
    <w:rsid w:val="00F44B33"/>
    <w:rsid w:val="00F45BB6"/>
    <w:rsid w:val="00F464A0"/>
    <w:rsid w:val="00F46680"/>
    <w:rsid w:val="00F501F3"/>
    <w:rsid w:val="00F52B32"/>
    <w:rsid w:val="00F55A4C"/>
    <w:rsid w:val="00F55E1E"/>
    <w:rsid w:val="00F5607B"/>
    <w:rsid w:val="00F561FE"/>
    <w:rsid w:val="00F562C6"/>
    <w:rsid w:val="00F6056A"/>
    <w:rsid w:val="00F61102"/>
    <w:rsid w:val="00F6368E"/>
    <w:rsid w:val="00F64156"/>
    <w:rsid w:val="00F64B2A"/>
    <w:rsid w:val="00F66668"/>
    <w:rsid w:val="00F66CA1"/>
    <w:rsid w:val="00F67870"/>
    <w:rsid w:val="00F709EB"/>
    <w:rsid w:val="00F7101F"/>
    <w:rsid w:val="00F73B30"/>
    <w:rsid w:val="00F74F45"/>
    <w:rsid w:val="00F818DF"/>
    <w:rsid w:val="00F81FF7"/>
    <w:rsid w:val="00F8361B"/>
    <w:rsid w:val="00F846FE"/>
    <w:rsid w:val="00F84F76"/>
    <w:rsid w:val="00F93C4D"/>
    <w:rsid w:val="00FA68DD"/>
    <w:rsid w:val="00FA6CB2"/>
    <w:rsid w:val="00FA7033"/>
    <w:rsid w:val="00FA777C"/>
    <w:rsid w:val="00FB19B7"/>
    <w:rsid w:val="00FB1ACF"/>
    <w:rsid w:val="00FB2A84"/>
    <w:rsid w:val="00FB3365"/>
    <w:rsid w:val="00FC178E"/>
    <w:rsid w:val="00FC30B3"/>
    <w:rsid w:val="00FC33BD"/>
    <w:rsid w:val="00FD02B6"/>
    <w:rsid w:val="00FD07A2"/>
    <w:rsid w:val="00FD15E0"/>
    <w:rsid w:val="00FD3E52"/>
    <w:rsid w:val="00FD455A"/>
    <w:rsid w:val="00FD6305"/>
    <w:rsid w:val="00FD69FE"/>
    <w:rsid w:val="00FE0A38"/>
    <w:rsid w:val="00FE1B61"/>
    <w:rsid w:val="00FE2154"/>
    <w:rsid w:val="00FE2834"/>
    <w:rsid w:val="00FE3C4D"/>
    <w:rsid w:val="00FF1267"/>
    <w:rsid w:val="00FF2385"/>
    <w:rsid w:val="00FF2546"/>
    <w:rsid w:val="00FF4237"/>
    <w:rsid w:val="00FF43FA"/>
    <w:rsid w:val="04FB6BFF"/>
    <w:rsid w:val="0B6D0560"/>
    <w:rsid w:val="0D5E3D38"/>
    <w:rsid w:val="111337CF"/>
    <w:rsid w:val="13B5226F"/>
    <w:rsid w:val="15DE68AD"/>
    <w:rsid w:val="170A2109"/>
    <w:rsid w:val="194A0216"/>
    <w:rsid w:val="19953720"/>
    <w:rsid w:val="19D34FC0"/>
    <w:rsid w:val="1CE36AB4"/>
    <w:rsid w:val="1DC660AD"/>
    <w:rsid w:val="1EFC0201"/>
    <w:rsid w:val="20196C77"/>
    <w:rsid w:val="287256BE"/>
    <w:rsid w:val="2CC8624C"/>
    <w:rsid w:val="31CF279E"/>
    <w:rsid w:val="36312552"/>
    <w:rsid w:val="36BE19F1"/>
    <w:rsid w:val="38512448"/>
    <w:rsid w:val="3B7C2178"/>
    <w:rsid w:val="3DD810E6"/>
    <w:rsid w:val="40DA24BD"/>
    <w:rsid w:val="475856D7"/>
    <w:rsid w:val="497A07AF"/>
    <w:rsid w:val="4CF21E2F"/>
    <w:rsid w:val="570A0BC9"/>
    <w:rsid w:val="57EF0371"/>
    <w:rsid w:val="63B141BD"/>
    <w:rsid w:val="63D075C7"/>
    <w:rsid w:val="64B15F04"/>
    <w:rsid w:val="6607160A"/>
    <w:rsid w:val="67881049"/>
    <w:rsid w:val="68902F72"/>
    <w:rsid w:val="71E43EB3"/>
    <w:rsid w:val="72F46C7C"/>
    <w:rsid w:val="74BA0585"/>
    <w:rsid w:val="74D55A3A"/>
    <w:rsid w:val="76F62EEC"/>
    <w:rsid w:val="789945B7"/>
    <w:rsid w:val="7CBE35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semiHidden/>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qFormat/>
    <w:uiPriority w:val="9"/>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6"/>
    <w:basedOn w:val="1"/>
    <w:next w:val="1"/>
    <w:link w:val="29"/>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7">
    <w:name w:val="caption"/>
    <w:basedOn w:val="1"/>
    <w:next w:val="1"/>
    <w:unhideWhenUsed/>
    <w:qFormat/>
    <w:uiPriority w:val="35"/>
    <w:rPr>
      <w:rFonts w:ascii="Cambria" w:hAnsi="Cambria" w:eastAsia="黑体"/>
      <w:sz w:val="20"/>
      <w:szCs w:val="20"/>
    </w:rPr>
  </w:style>
  <w:style w:type="paragraph" w:styleId="8">
    <w:name w:val="Date"/>
    <w:basedOn w:val="1"/>
    <w:next w:val="1"/>
    <w:link w:val="20"/>
    <w:semiHidden/>
    <w:unhideWhenUsed/>
    <w:qFormat/>
    <w:uiPriority w:val="99"/>
    <w:pPr>
      <w:ind w:left="100" w:leftChars="2500"/>
    </w:pPr>
  </w:style>
  <w:style w:type="paragraph" w:styleId="9">
    <w:name w:val="Balloon Text"/>
    <w:basedOn w:val="1"/>
    <w:link w:val="19"/>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Autospacing="1" w:afterAutospacing="1"/>
      <w:jc w:val="left"/>
    </w:pPr>
    <w:rPr>
      <w:rFonts w:ascii="宋体" w:hAnsi="宋体" w:cs="宋体"/>
      <w:kern w:val="0"/>
      <w:sz w:val="24"/>
    </w:rPr>
  </w:style>
  <w:style w:type="character" w:styleId="14">
    <w:name w:val="Strong"/>
    <w:basedOn w:val="13"/>
    <w:qFormat/>
    <w:uiPriority w:val="22"/>
    <w:rPr>
      <w:b/>
      <w:bCs/>
    </w:rPr>
  </w:style>
  <w:style w:type="character" w:styleId="15">
    <w:name w:val="Hyperlink"/>
    <w:basedOn w:val="13"/>
    <w:qFormat/>
    <w:uiPriority w:val="99"/>
    <w:rPr>
      <w:rFonts w:ascii="Arial" w:hAnsi="Arial"/>
      <w:color w:val="FF6600"/>
      <w:sz w:val="20"/>
      <w:u w:val="single"/>
    </w:rPr>
  </w:style>
  <w:style w:type="character" w:customStyle="1" w:styleId="17">
    <w:name w:val="页眉 Char"/>
    <w:basedOn w:val="13"/>
    <w:link w:val="11"/>
    <w:qFormat/>
    <w:uiPriority w:val="99"/>
    <w:rPr>
      <w:sz w:val="18"/>
      <w:szCs w:val="18"/>
    </w:rPr>
  </w:style>
  <w:style w:type="character" w:customStyle="1" w:styleId="18">
    <w:name w:val="页脚 Char"/>
    <w:basedOn w:val="13"/>
    <w:link w:val="10"/>
    <w:qFormat/>
    <w:uiPriority w:val="99"/>
    <w:rPr>
      <w:sz w:val="18"/>
      <w:szCs w:val="18"/>
    </w:rPr>
  </w:style>
  <w:style w:type="character" w:customStyle="1" w:styleId="19">
    <w:name w:val="批注框文本 Char"/>
    <w:basedOn w:val="13"/>
    <w:link w:val="9"/>
    <w:semiHidden/>
    <w:qFormat/>
    <w:uiPriority w:val="99"/>
    <w:rPr>
      <w:sz w:val="18"/>
      <w:szCs w:val="18"/>
    </w:rPr>
  </w:style>
  <w:style w:type="character" w:customStyle="1" w:styleId="20">
    <w:name w:val="日期 Char"/>
    <w:basedOn w:val="13"/>
    <w:link w:val="8"/>
    <w:semiHidden/>
    <w:qFormat/>
    <w:uiPriority w:val="99"/>
  </w:style>
  <w:style w:type="character" w:customStyle="1" w:styleId="21">
    <w:name w:val="标题 4 Char"/>
    <w:basedOn w:val="13"/>
    <w:link w:val="5"/>
    <w:qFormat/>
    <w:uiPriority w:val="9"/>
    <w:rPr>
      <w:rFonts w:ascii="宋体" w:hAnsi="宋体" w:eastAsia="宋体" w:cs="宋体"/>
      <w:b/>
      <w:bCs/>
      <w:sz w:val="24"/>
      <w:szCs w:val="24"/>
    </w:rPr>
  </w:style>
  <w:style w:type="character" w:customStyle="1" w:styleId="22">
    <w:name w:val="bjh-p"/>
    <w:basedOn w:val="13"/>
    <w:qFormat/>
    <w:uiPriority w:val="0"/>
  </w:style>
  <w:style w:type="character" w:customStyle="1" w:styleId="23">
    <w:name w:val="标题 2 Char"/>
    <w:basedOn w:val="13"/>
    <w:link w:val="3"/>
    <w:semiHidden/>
    <w:qFormat/>
    <w:uiPriority w:val="9"/>
    <w:rPr>
      <w:rFonts w:ascii="Cambria" w:hAnsi="Cambria" w:eastAsia="宋体" w:cs="Times New Roman"/>
      <w:b/>
      <w:bCs/>
      <w:kern w:val="2"/>
      <w:sz w:val="32"/>
      <w:szCs w:val="32"/>
    </w:rPr>
  </w:style>
  <w:style w:type="paragraph" w:customStyle="1" w:styleId="24">
    <w:name w:val="title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title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6">
    <w:name w:val="标题 3 Char"/>
    <w:basedOn w:val="13"/>
    <w:link w:val="4"/>
    <w:semiHidden/>
    <w:qFormat/>
    <w:uiPriority w:val="9"/>
    <w:rPr>
      <w:b/>
      <w:bCs/>
      <w:kern w:val="2"/>
      <w:sz w:val="32"/>
      <w:szCs w:val="32"/>
    </w:rPr>
  </w:style>
  <w:style w:type="paragraph" w:styleId="27">
    <w:name w:val="List Paragraph"/>
    <w:basedOn w:val="1"/>
    <w:unhideWhenUsed/>
    <w:qFormat/>
    <w:uiPriority w:val="99"/>
    <w:pPr>
      <w:ind w:firstLine="420" w:firstLineChars="200"/>
    </w:pPr>
  </w:style>
  <w:style w:type="character" w:customStyle="1" w:styleId="28">
    <w:name w:val="标题 1 Char"/>
    <w:basedOn w:val="13"/>
    <w:link w:val="2"/>
    <w:uiPriority w:val="9"/>
    <w:rPr>
      <w:rFonts w:ascii="Calibri" w:hAnsi="Calibri" w:eastAsia="宋体" w:cs="Times New Roman"/>
      <w:b/>
      <w:bCs/>
      <w:kern w:val="44"/>
      <w:sz w:val="44"/>
      <w:szCs w:val="44"/>
    </w:rPr>
  </w:style>
  <w:style w:type="character" w:customStyle="1" w:styleId="29">
    <w:name w:val="标题 6 Char"/>
    <w:basedOn w:val="13"/>
    <w:link w:val="6"/>
    <w:semiHidden/>
    <w:uiPriority w:val="9"/>
    <w:rPr>
      <w:rFonts w:asciiTheme="majorHAnsi" w:hAnsiTheme="majorHAnsi" w:eastAsiaTheme="majorEastAsia" w:cstheme="majorBidi"/>
      <w:b/>
      <w:bCs/>
      <w:kern w:val="2"/>
      <w:sz w:val="24"/>
      <w:szCs w:val="24"/>
    </w:rPr>
  </w:style>
  <w:style w:type="paragraph" w:customStyle="1" w:styleId="30">
    <w:name w:val="p"/>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ZH-20210909STYZ\Desktop\&#31532;8&#26399;&#20250;&#21002;&#27491;&#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5F66B-D543-4924-8302-0756050988B3}">
  <ds:schemaRefs/>
</ds:datastoreItem>
</file>

<file path=docProps/app.xml><?xml version="1.0" encoding="utf-8"?>
<Properties xmlns="http://schemas.openxmlformats.org/officeDocument/2006/extended-properties" xmlns:vt="http://schemas.openxmlformats.org/officeDocument/2006/docPropsVTypes">
  <Template>第8期会刊正文</Template>
  <Company>China</Company>
  <Pages>1</Pages>
  <Words>6849</Words>
  <Characters>39040</Characters>
  <Lines>325</Lines>
  <Paragraphs>91</Paragraphs>
  <TotalTime>60</TotalTime>
  <ScaleCrop>false</ScaleCrop>
  <LinksUpToDate>false</LinksUpToDate>
  <CharactersWithSpaces>45798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2022-01-13T07:23:00Z</dcterms:created>
  <dc:creator>Microsoft</dc:creator>
  <cp:lastModifiedBy>shxl</cp:lastModifiedBy>
  <dcterms:modified xsi:type="dcterms:W3CDTF">2022-01-14T07:39:09Z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