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jc w:val="left"/>
        <w:rPr>
          <w:rFonts w:ascii="华文彩云" w:hAnsi="宋体" w:eastAsia="华文彩云"/>
          <w:sz w:val="36"/>
          <w:szCs w:val="36"/>
        </w:rPr>
      </w:pPr>
    </w:p>
    <w:p>
      <w:pPr>
        <w:spacing w:line="440" w:lineRule="exact"/>
        <w:jc w:val="left"/>
        <w:rPr>
          <w:rFonts w:ascii="华文彩云" w:eastAsia="华文彩云" w:hAnsiTheme="minorEastAsia"/>
          <w:b/>
          <w:sz w:val="36"/>
          <w:szCs w:val="36"/>
        </w:rPr>
      </w:pPr>
      <w:r>
        <w:rPr>
          <w:rFonts w:hint="eastAsia" w:ascii="华文彩云" w:hAnsi="宋体" w:eastAsia="华文彩云"/>
          <w:sz w:val="36"/>
          <w:szCs w:val="36"/>
        </w:rPr>
        <w:t>◎</w:t>
      </w:r>
      <w:r>
        <w:rPr>
          <w:rFonts w:hint="eastAsia" w:ascii="华文彩云" w:eastAsia="华文彩云" w:hAnsiTheme="minorEastAsia"/>
          <w:b/>
          <w:sz w:val="36"/>
          <w:szCs w:val="36"/>
        </w:rPr>
        <w:t>甬经动态</w:t>
      </w:r>
    </w:p>
    <w:p>
      <w:pPr>
        <w:spacing w:line="440" w:lineRule="exact"/>
        <w:jc w:val="left"/>
        <w:rPr>
          <w:rFonts w:ascii="华文彩云" w:hAnsi="Times New Roman" w:eastAsia="华文彩云" w:cs="Times New Roman"/>
          <w:sz w:val="36"/>
          <w:szCs w:val="36"/>
        </w:rPr>
        <w:sectPr>
          <w:headerReference r:id="rId3" w:type="default"/>
          <w:footerReference r:id="rId4" w:type="default"/>
          <w:type w:val="continuous"/>
          <w:pgSz w:w="11906" w:h="16838"/>
          <w:pgMar w:top="1440" w:right="1800" w:bottom="1440" w:left="1800" w:header="851" w:footer="992" w:gutter="0"/>
          <w:cols w:space="425" w:num="1"/>
          <w:docGrid w:type="lines" w:linePitch="312" w:charSpace="0"/>
        </w:sectPr>
      </w:pPr>
    </w:p>
    <w:p>
      <w:pPr>
        <w:spacing w:line="440" w:lineRule="exact"/>
        <w:jc w:val="center"/>
        <w:rPr>
          <w:rFonts w:cs="Times New Roman" w:asciiTheme="minorEastAsia" w:hAnsiTheme="minorEastAsia"/>
          <w:sz w:val="24"/>
          <w:szCs w:val="24"/>
        </w:rPr>
      </w:pPr>
    </w:p>
    <w:p>
      <w:pPr>
        <w:spacing w:line="440" w:lineRule="exact"/>
        <w:jc w:val="center"/>
        <w:rPr>
          <w:rFonts w:hint="eastAsia" w:ascii="楷体_GB2312" w:eastAsia="楷体_GB2312" w:cs="Times New Roman" w:hAnsiTheme="minorEastAsia"/>
          <w:b/>
          <w:bCs/>
          <w:sz w:val="36"/>
          <w:szCs w:val="36"/>
        </w:rPr>
      </w:pPr>
    </w:p>
    <w:p>
      <w:pPr>
        <w:spacing w:line="440" w:lineRule="exact"/>
        <w:jc w:val="center"/>
        <w:rPr>
          <w:rFonts w:hint="eastAsia" w:ascii="楷体_GB2312" w:eastAsia="楷体_GB2312" w:cs="Times New Roman" w:hAnsiTheme="minorEastAsia"/>
          <w:b/>
          <w:bCs/>
          <w:sz w:val="36"/>
          <w:szCs w:val="36"/>
        </w:rPr>
      </w:pPr>
      <w:r>
        <w:rPr>
          <w:rFonts w:hint="eastAsia" w:ascii="楷体_GB2312" w:eastAsia="楷体_GB2312" w:cs="Times New Roman" w:hAnsiTheme="minorEastAsia"/>
          <w:b/>
          <w:bCs/>
          <w:sz w:val="36"/>
          <w:szCs w:val="36"/>
        </w:rPr>
        <w:t>占比全国1/28！</w:t>
      </w:r>
    </w:p>
    <w:p>
      <w:pPr>
        <w:spacing w:line="440" w:lineRule="exact"/>
        <w:jc w:val="center"/>
        <w:rPr>
          <w:rFonts w:hint="eastAsia" w:ascii="楷体_GB2312" w:eastAsia="楷体_GB2312" w:cs="Times New Roman" w:hAnsiTheme="minorEastAsia"/>
          <w:b/>
          <w:bCs/>
          <w:sz w:val="36"/>
          <w:szCs w:val="36"/>
        </w:rPr>
      </w:pPr>
      <w:r>
        <w:rPr>
          <w:rFonts w:hint="eastAsia" w:ascii="楷体_GB2312" w:eastAsia="楷体_GB2312" w:cs="Times New Roman" w:hAnsiTheme="minorEastAsia"/>
          <w:b/>
          <w:bCs/>
          <w:sz w:val="36"/>
          <w:szCs w:val="36"/>
        </w:rPr>
        <w:t>宁波助力浙江进出口在全国份额首超10%</w:t>
      </w:r>
    </w:p>
    <w:p>
      <w:pPr>
        <w:spacing w:line="440" w:lineRule="exact"/>
        <w:jc w:val="center"/>
        <w:rPr>
          <w:rFonts w:hint="eastAsia" w:ascii="楷体_GB2312" w:eastAsia="楷体_GB2312" w:cs="Times New Roman" w:hAnsiTheme="minorEastAsia"/>
          <w:b/>
          <w:bCs/>
          <w:sz w:val="36"/>
          <w:szCs w:val="36"/>
        </w:rPr>
      </w:pPr>
      <w:r>
        <w:rPr>
          <w:rFonts w:hint="eastAsia" w:ascii="楷体_GB2312" w:eastAsia="楷体_GB2312" w:cs="Times New Roman" w:hAnsiTheme="minorEastAsia"/>
          <w:b/>
          <w:bCs/>
          <w:sz w:val="36"/>
          <w:szCs w:val="36"/>
        </w:rPr>
        <w:t xml:space="preserve"> </w:t>
      </w:r>
    </w:p>
    <w:p>
      <w:pPr>
        <w:spacing w:line="440" w:lineRule="exact"/>
        <w:ind w:firstLine="480" w:firstLineChars="200"/>
        <w:jc w:val="left"/>
        <w:rPr>
          <w:rFonts w:hint="eastAsia" w:cs="Times New Roman" w:asciiTheme="minorEastAsia" w:hAnsiTheme="minorEastAsia"/>
          <w:sz w:val="24"/>
          <w:szCs w:val="24"/>
        </w:rPr>
        <w:sectPr>
          <w:type w:val="continuous"/>
          <w:pgSz w:w="11906" w:h="16838"/>
          <w:pgMar w:top="1440" w:right="1800" w:bottom="1440" w:left="1800" w:header="851" w:footer="992" w:gutter="0"/>
          <w:cols w:space="425" w:num="1"/>
          <w:docGrid w:type="lines" w:linePitch="312" w:charSpace="0"/>
        </w:sectPr>
      </w:pPr>
    </w:p>
    <w:p>
      <w:pPr>
        <w:spacing w:line="440" w:lineRule="exact"/>
        <w:ind w:firstLine="480" w:firstLineChars="200"/>
        <w:jc w:val="left"/>
        <w:rPr>
          <w:rFonts w:hint="eastAsia" w:cs="Times New Roman" w:asciiTheme="minorEastAsia" w:hAnsiTheme="minorEastAsia"/>
          <w:sz w:val="24"/>
          <w:szCs w:val="24"/>
        </w:rPr>
      </w:pPr>
      <w:r>
        <w:rPr>
          <w:rFonts w:hint="eastAsia" w:cs="Times New Roman" w:asciiTheme="minorEastAsia" w:hAnsiTheme="minorEastAsia"/>
          <w:sz w:val="24"/>
          <w:szCs w:val="24"/>
        </w:rPr>
        <w:t>“意外”贯穿全年。大起大落间，宁波外贸走过了难以想象的2020年。</w:t>
      </w:r>
    </w:p>
    <w:p>
      <w:pPr>
        <w:spacing w:line="440" w:lineRule="exact"/>
        <w:ind w:firstLine="480" w:firstLineChars="200"/>
        <w:jc w:val="left"/>
        <w:rPr>
          <w:rFonts w:hint="eastAsia" w:cs="Times New Roman" w:asciiTheme="minorEastAsia" w:hAnsiTheme="minorEastAsia"/>
          <w:sz w:val="24"/>
          <w:szCs w:val="24"/>
        </w:rPr>
      </w:pPr>
      <w:r>
        <w:rPr>
          <w:rFonts w:hint="eastAsia" w:cs="Times New Roman" w:asciiTheme="minorEastAsia" w:hAnsiTheme="minorEastAsia"/>
          <w:sz w:val="24"/>
          <w:szCs w:val="24"/>
        </w:rPr>
        <w:t>最新数据显示，2020年浙江实现进出口总值3.38万亿元，在全国的份额首次突破10%。浙江对全国进出口、出口的增长贡献率居各省区市首位。其中，宁波实现进出口9786.9亿元，对全省外贸贡献率达29%。</w:t>
      </w:r>
    </w:p>
    <w:p>
      <w:pPr>
        <w:spacing w:line="440" w:lineRule="exact"/>
        <w:ind w:firstLine="480" w:firstLineChars="200"/>
        <w:jc w:val="left"/>
        <w:rPr>
          <w:rFonts w:hint="eastAsia" w:cs="Times New Roman" w:asciiTheme="minorEastAsia" w:hAnsiTheme="minorEastAsia"/>
          <w:sz w:val="24"/>
          <w:szCs w:val="24"/>
        </w:rPr>
      </w:pPr>
      <w:r>
        <w:rPr>
          <w:rFonts w:hint="eastAsia" w:cs="Times New Roman" w:asciiTheme="minorEastAsia" w:hAnsiTheme="minorEastAsia"/>
          <w:sz w:val="24"/>
          <w:szCs w:val="24"/>
        </w:rPr>
        <w:t>非常之时，立下非常之功！</w:t>
      </w:r>
    </w:p>
    <w:p>
      <w:pPr>
        <w:spacing w:line="440" w:lineRule="exact"/>
        <w:ind w:firstLine="480" w:firstLineChars="200"/>
        <w:jc w:val="left"/>
        <w:rPr>
          <w:rFonts w:hint="eastAsia" w:cs="Times New Roman" w:asciiTheme="minorEastAsia" w:hAnsiTheme="minorEastAsia"/>
          <w:sz w:val="24"/>
          <w:szCs w:val="24"/>
        </w:rPr>
      </w:pPr>
      <w:r>
        <w:rPr>
          <w:rFonts w:hint="eastAsia" w:cs="Times New Roman" w:asciiTheme="minorEastAsia" w:hAnsiTheme="minorEastAsia"/>
          <w:sz w:val="24"/>
          <w:szCs w:val="24"/>
        </w:rPr>
        <w:t>狮丹努集团有限公司董事长吴忠宝至今还记得2020年一季度，疫情防控最吃劲时，大量订单面临取消，纺织服装出口遭受重创。“每天一睁眼是大大小小开支，光发工资就要100万元一天！”他咬咬牙，打算拿出3亿元争取先稳住队伍。</w:t>
      </w:r>
    </w:p>
    <w:p>
      <w:pPr>
        <w:spacing w:line="440" w:lineRule="exact"/>
        <w:ind w:firstLine="480" w:firstLineChars="200"/>
        <w:jc w:val="left"/>
        <w:rPr>
          <w:rFonts w:hint="eastAsia" w:cs="Times New Roman" w:asciiTheme="minorEastAsia" w:hAnsiTheme="minorEastAsia"/>
          <w:sz w:val="24"/>
          <w:szCs w:val="24"/>
        </w:rPr>
      </w:pPr>
      <w:r>
        <w:rPr>
          <w:rFonts w:hint="eastAsia" w:cs="Times New Roman" w:asciiTheme="minorEastAsia" w:hAnsiTheme="minorEastAsia"/>
          <w:sz w:val="24"/>
          <w:szCs w:val="24"/>
        </w:rPr>
        <w:t>没想到时至年中，形势逆转。在一大批稳外贸新政的带动下，供应链链式联动，订单加速回暖，工厂加班加点出货。到了年底一算，那笔钱不但没有用掉，反而赚进了3.5亿元，逆势增长17%。</w:t>
      </w:r>
    </w:p>
    <w:p>
      <w:pPr>
        <w:spacing w:line="440" w:lineRule="exact"/>
        <w:ind w:firstLine="480" w:firstLineChars="200"/>
        <w:jc w:val="left"/>
        <w:rPr>
          <w:rFonts w:hint="eastAsia" w:cs="Times New Roman" w:asciiTheme="minorEastAsia" w:hAnsiTheme="minorEastAsia"/>
          <w:sz w:val="24"/>
          <w:szCs w:val="24"/>
        </w:rPr>
      </w:pPr>
      <w:r>
        <w:rPr>
          <w:rFonts w:hint="eastAsia" w:cs="Times New Roman" w:asciiTheme="minorEastAsia" w:hAnsiTheme="minorEastAsia"/>
          <w:sz w:val="24"/>
          <w:szCs w:val="24"/>
        </w:rPr>
        <w:t>“疫情控制得好，这就是外贸人最大的获得感、幸福感和安全感！”吴忠宝感慨万千。</w:t>
      </w:r>
    </w:p>
    <w:p>
      <w:pPr>
        <w:spacing w:line="440" w:lineRule="exact"/>
        <w:ind w:firstLine="480" w:firstLineChars="200"/>
        <w:jc w:val="left"/>
        <w:rPr>
          <w:rFonts w:hint="eastAsia" w:cs="Times New Roman" w:asciiTheme="minorEastAsia" w:hAnsiTheme="minorEastAsia"/>
          <w:sz w:val="24"/>
          <w:szCs w:val="24"/>
        </w:rPr>
      </w:pPr>
      <w:r>
        <w:rPr>
          <w:rFonts w:hint="eastAsia" w:cs="Times New Roman" w:asciiTheme="minorEastAsia" w:hAnsiTheme="minorEastAsia"/>
          <w:sz w:val="24"/>
          <w:szCs w:val="24"/>
        </w:rPr>
        <w:t>在宁波的开放叙事中，这样的例子并不鲜见——去年，宁波实现出口6407亿元，增长7.3%，占全国比重为3.57%，比上年提高0.11%。仅一市出口，占到全国的二十八之一。</w:t>
      </w:r>
    </w:p>
    <w:p>
      <w:pPr>
        <w:spacing w:line="440" w:lineRule="exact"/>
        <w:ind w:firstLine="480" w:firstLineChars="200"/>
        <w:jc w:val="left"/>
        <w:rPr>
          <w:rFonts w:hint="eastAsia" w:cs="Times New Roman" w:asciiTheme="minorEastAsia" w:hAnsiTheme="minorEastAsia"/>
          <w:sz w:val="24"/>
          <w:szCs w:val="24"/>
        </w:rPr>
      </w:pPr>
      <w:r>
        <w:rPr>
          <w:rFonts w:hint="eastAsia" w:cs="Times New Roman" w:asciiTheme="minorEastAsia" w:hAnsiTheme="minorEastAsia"/>
          <w:sz w:val="24"/>
          <w:szCs w:val="24"/>
        </w:rPr>
        <w:t>时至2021，万亿目标，近在眼前。</w:t>
      </w:r>
    </w:p>
    <w:p>
      <w:pPr>
        <w:spacing w:line="440" w:lineRule="exact"/>
        <w:ind w:firstLine="480" w:firstLineChars="200"/>
        <w:jc w:val="left"/>
        <w:rPr>
          <w:rFonts w:hint="eastAsia" w:cs="Times New Roman" w:asciiTheme="minorEastAsia" w:hAnsiTheme="minorEastAsia"/>
          <w:sz w:val="24"/>
          <w:szCs w:val="24"/>
        </w:rPr>
      </w:pPr>
      <w:r>
        <w:rPr>
          <w:rFonts w:hint="eastAsia" w:cs="Times New Roman" w:asciiTheme="minorEastAsia" w:hAnsiTheme="minorEastAsia"/>
          <w:sz w:val="24"/>
          <w:szCs w:val="24"/>
        </w:rPr>
        <w:t>“达成万亿，需在2020年基础上增长超2%，表面上看，似乎是轻轻一跃，但其实绝非轻轻松松，即可一蹴而就。”市商务局负责人表示，今年，外贸形势将更加复杂严峻。</w:t>
      </w:r>
    </w:p>
    <w:p>
      <w:pPr>
        <w:spacing w:line="440" w:lineRule="exact"/>
        <w:ind w:firstLine="480" w:firstLineChars="200"/>
        <w:jc w:val="left"/>
        <w:rPr>
          <w:rFonts w:hint="eastAsia" w:cs="Times New Roman" w:asciiTheme="minorEastAsia" w:hAnsiTheme="minorEastAsia"/>
          <w:sz w:val="24"/>
          <w:szCs w:val="24"/>
        </w:rPr>
      </w:pPr>
      <w:r>
        <w:rPr>
          <w:rFonts w:hint="eastAsia" w:cs="Times New Roman" w:asciiTheme="minorEastAsia" w:hAnsiTheme="minorEastAsia"/>
          <w:sz w:val="24"/>
          <w:szCs w:val="24"/>
        </w:rPr>
        <w:t>外贸企业既面临汇率高企、劳动力短缺、运力不足、保护主义等老问题，也有疫情不确定性、主要经济体主权信用危机、订单再度流出等新风险。</w:t>
      </w:r>
    </w:p>
    <w:p>
      <w:pPr>
        <w:spacing w:line="440" w:lineRule="exact"/>
        <w:ind w:firstLine="480" w:firstLineChars="200"/>
        <w:jc w:val="left"/>
        <w:rPr>
          <w:rFonts w:hint="eastAsia" w:cs="Times New Roman" w:asciiTheme="minorEastAsia" w:hAnsiTheme="minorEastAsia"/>
          <w:sz w:val="24"/>
          <w:szCs w:val="24"/>
        </w:rPr>
      </w:pPr>
      <w:r>
        <w:rPr>
          <w:rFonts w:hint="eastAsia" w:cs="Times New Roman" w:asciiTheme="minorEastAsia" w:hAnsiTheme="minorEastAsia"/>
          <w:sz w:val="24"/>
          <w:szCs w:val="24"/>
        </w:rPr>
        <w:t>1月21日下午，在海曙区启运路281号，吴忠宝已投身新一轮的忙碌</w:t>
      </w:r>
      <w:r>
        <w:rPr>
          <w:rFonts w:hint="eastAsia" w:cs="Times New Roman" w:asciiTheme="minorEastAsia" w:hAnsiTheme="minorEastAsia"/>
          <w:sz w:val="24"/>
          <w:szCs w:val="24"/>
          <w:lang w:eastAsia="zh-CN"/>
        </w:rPr>
        <w:t>——</w:t>
      </w:r>
      <w:r>
        <w:rPr>
          <w:rFonts w:hint="eastAsia" w:cs="Times New Roman" w:asciiTheme="minorEastAsia" w:hAnsiTheme="minorEastAsia"/>
          <w:sz w:val="24"/>
          <w:szCs w:val="24"/>
        </w:rPr>
        <w:t>寻找土地，增资扩产，应对激增的海外订单；数字化改造，促进车间提质增效……</w:t>
      </w:r>
    </w:p>
    <w:p>
      <w:pPr>
        <w:spacing w:line="440" w:lineRule="exact"/>
        <w:ind w:firstLine="480" w:firstLineChars="200"/>
        <w:jc w:val="left"/>
        <w:rPr>
          <w:rFonts w:hint="eastAsia" w:cs="Times New Roman" w:asciiTheme="minorEastAsia" w:hAnsiTheme="minorEastAsia"/>
          <w:sz w:val="24"/>
          <w:szCs w:val="24"/>
        </w:rPr>
      </w:pPr>
      <w:r>
        <w:rPr>
          <w:rFonts w:hint="eastAsia" w:cs="Times New Roman" w:asciiTheme="minorEastAsia" w:hAnsiTheme="minorEastAsia"/>
          <w:sz w:val="24"/>
          <w:szCs w:val="24"/>
        </w:rPr>
        <w:t>逆水行舟，一蒿不可放缓。</w:t>
      </w:r>
    </w:p>
    <w:p>
      <w:pPr>
        <w:spacing w:line="440" w:lineRule="exact"/>
        <w:ind w:firstLine="480" w:firstLineChars="200"/>
        <w:jc w:val="left"/>
        <w:rPr>
          <w:rFonts w:hint="eastAsia" w:cs="Times New Roman" w:asciiTheme="minorEastAsia" w:hAnsiTheme="minorEastAsia"/>
          <w:sz w:val="24"/>
          <w:szCs w:val="24"/>
          <w:lang w:eastAsia="zh-CN"/>
        </w:rPr>
      </w:pPr>
      <w:r>
        <w:rPr>
          <w:rFonts w:hint="eastAsia" w:cs="Times New Roman" w:asciiTheme="minorEastAsia" w:hAnsiTheme="minorEastAsia"/>
          <w:sz w:val="24"/>
          <w:szCs w:val="24"/>
        </w:rPr>
        <w:t>征战“225”外贸双万亿行动，宁波在路上。</w:t>
      </w:r>
      <w:r>
        <w:rPr>
          <w:rFonts w:hint="eastAsia" w:cs="Times New Roman" w:asciiTheme="minorEastAsia" w:hAnsiTheme="minorEastAsia"/>
          <w:sz w:val="24"/>
          <w:szCs w:val="24"/>
          <w:lang w:eastAsia="zh-CN"/>
        </w:rPr>
        <w:t>（</w:t>
      </w:r>
      <w:r>
        <w:rPr>
          <w:rFonts w:hint="eastAsia" w:cs="Times New Roman" w:asciiTheme="minorEastAsia" w:hAnsiTheme="minorEastAsia"/>
          <w:sz w:val="24"/>
          <w:szCs w:val="24"/>
        </w:rPr>
        <w:t>甬派2021-01-21</w:t>
      </w:r>
      <w:r>
        <w:rPr>
          <w:rFonts w:hint="eastAsia" w:cs="Times New Roman" w:asciiTheme="minorEastAsia" w:hAnsiTheme="minorEastAsia"/>
          <w:sz w:val="24"/>
          <w:szCs w:val="24"/>
          <w:lang w:eastAsia="zh-CN"/>
        </w:rPr>
        <w:t>）</w:t>
      </w:r>
    </w:p>
    <w:p>
      <w:pPr>
        <w:spacing w:line="440" w:lineRule="exact"/>
        <w:ind w:firstLine="480" w:firstLineChars="200"/>
        <w:jc w:val="left"/>
        <w:rPr>
          <w:rFonts w:hint="eastAsia" w:cs="Times New Roman" w:asciiTheme="minorEastAsia" w:hAnsiTheme="minorEastAsia"/>
          <w:sz w:val="24"/>
          <w:szCs w:val="24"/>
        </w:rPr>
        <w:sectPr>
          <w:type w:val="continuous"/>
          <w:pgSz w:w="11906" w:h="16838"/>
          <w:pgMar w:top="1440" w:right="1800" w:bottom="1440" w:left="1800" w:header="851" w:footer="992" w:gutter="0"/>
          <w:cols w:equalWidth="0" w:num="2">
            <w:col w:w="3940" w:space="425"/>
            <w:col w:w="3940"/>
          </w:cols>
          <w:docGrid w:type="lines" w:linePitch="312" w:charSpace="0"/>
        </w:sectPr>
      </w:pPr>
    </w:p>
    <w:p>
      <w:pPr>
        <w:spacing w:line="440" w:lineRule="exact"/>
        <w:ind w:firstLine="480" w:firstLineChars="200"/>
        <w:jc w:val="left"/>
        <w:rPr>
          <w:rFonts w:hint="eastAsia" w:cs="Times New Roman" w:asciiTheme="minorEastAsia" w:hAnsiTheme="minorEastAsia"/>
          <w:sz w:val="24"/>
          <w:szCs w:val="24"/>
        </w:rPr>
      </w:pPr>
    </w:p>
    <w:p>
      <w:pPr>
        <w:spacing w:line="440" w:lineRule="exact"/>
        <w:ind w:firstLine="480" w:firstLineChars="200"/>
        <w:jc w:val="left"/>
        <w:rPr>
          <w:rFonts w:hint="eastAsia" w:cs="Times New Roman" w:asciiTheme="minorEastAsia" w:hAnsiTheme="minorEastAsia"/>
          <w:sz w:val="24"/>
          <w:szCs w:val="24"/>
        </w:rPr>
      </w:pPr>
    </w:p>
    <w:p>
      <w:pPr>
        <w:spacing w:line="440" w:lineRule="exact"/>
        <w:jc w:val="center"/>
        <w:rPr>
          <w:rFonts w:hint="eastAsia" w:ascii="楷体_GB2312" w:eastAsia="楷体_GB2312" w:cs="Times New Roman" w:hAnsiTheme="minorEastAsia"/>
          <w:b/>
          <w:bCs/>
          <w:sz w:val="36"/>
          <w:szCs w:val="36"/>
        </w:rPr>
      </w:pPr>
    </w:p>
    <w:p>
      <w:pPr>
        <w:spacing w:line="440" w:lineRule="exact"/>
        <w:jc w:val="center"/>
        <w:rPr>
          <w:rFonts w:hint="eastAsia" w:ascii="楷体_GB2312" w:eastAsia="楷体_GB2312" w:cs="Times New Roman" w:hAnsiTheme="minorEastAsia"/>
          <w:b/>
          <w:bCs/>
          <w:sz w:val="36"/>
          <w:szCs w:val="36"/>
        </w:rPr>
      </w:pPr>
      <w:r>
        <w:rPr>
          <w:rFonts w:hint="eastAsia" w:ascii="楷体_GB2312" w:eastAsia="楷体_GB2312" w:cs="Times New Roman" w:hAnsiTheme="minorEastAsia"/>
          <w:b/>
          <w:bCs/>
          <w:sz w:val="36"/>
          <w:szCs w:val="36"/>
        </w:rPr>
        <w:t>12408.7亿元！</w:t>
      </w:r>
    </w:p>
    <w:p>
      <w:pPr>
        <w:spacing w:line="440" w:lineRule="exact"/>
        <w:jc w:val="center"/>
        <w:rPr>
          <w:rFonts w:hint="eastAsia" w:ascii="楷体_GB2312" w:eastAsia="楷体_GB2312" w:cs="Times New Roman" w:hAnsiTheme="minorEastAsia"/>
          <w:b/>
          <w:bCs/>
          <w:sz w:val="36"/>
          <w:szCs w:val="36"/>
        </w:rPr>
      </w:pPr>
      <w:r>
        <w:rPr>
          <w:rFonts w:hint="eastAsia" w:ascii="楷体_GB2312" w:eastAsia="楷体_GB2312" w:cs="Times New Roman" w:hAnsiTheme="minorEastAsia"/>
          <w:b/>
          <w:bCs/>
          <w:sz w:val="36"/>
          <w:szCs w:val="36"/>
        </w:rPr>
        <w:t>悬念揭开，2020年宁波GDP同比增长3.3%</w:t>
      </w:r>
    </w:p>
    <w:p>
      <w:pPr>
        <w:spacing w:line="440" w:lineRule="exact"/>
        <w:jc w:val="center"/>
        <w:rPr>
          <w:rFonts w:hint="eastAsia" w:ascii="楷体_GB2312" w:eastAsia="楷体_GB2312" w:cs="Times New Roman" w:hAnsiTheme="minorEastAsia"/>
          <w:b/>
          <w:bCs/>
          <w:sz w:val="36"/>
          <w:szCs w:val="36"/>
        </w:rPr>
      </w:pPr>
    </w:p>
    <w:p>
      <w:pPr>
        <w:spacing w:line="440" w:lineRule="exact"/>
        <w:ind w:firstLine="480" w:firstLineChars="200"/>
        <w:jc w:val="left"/>
        <w:rPr>
          <w:rFonts w:hint="eastAsia" w:cs="Times New Roman" w:asciiTheme="minorEastAsia" w:hAnsiTheme="minorEastAsia"/>
          <w:sz w:val="24"/>
          <w:szCs w:val="24"/>
        </w:rPr>
        <w:sectPr>
          <w:type w:val="continuous"/>
          <w:pgSz w:w="11906" w:h="16838"/>
          <w:pgMar w:top="1440" w:right="1800" w:bottom="1440" w:left="1800" w:header="851" w:footer="992" w:gutter="0"/>
          <w:cols w:space="425" w:num="1"/>
          <w:docGrid w:type="lines" w:linePitch="312" w:charSpace="0"/>
        </w:sectPr>
      </w:pPr>
    </w:p>
    <w:p>
      <w:pPr>
        <w:spacing w:line="440" w:lineRule="exact"/>
        <w:ind w:firstLine="480" w:firstLineChars="200"/>
        <w:jc w:val="left"/>
        <w:rPr>
          <w:rFonts w:hint="eastAsia" w:cs="Times New Roman" w:asciiTheme="minorEastAsia" w:hAnsiTheme="minorEastAsia"/>
          <w:sz w:val="24"/>
          <w:szCs w:val="24"/>
        </w:rPr>
      </w:pPr>
      <w:r>
        <w:rPr>
          <w:rFonts w:hint="eastAsia" w:cs="Times New Roman" w:asciiTheme="minorEastAsia" w:hAnsiTheme="minorEastAsia"/>
          <w:sz w:val="24"/>
          <w:szCs w:val="24"/>
        </w:rPr>
        <w:t>1月26日下午，市统计局和国家统计局宁波调查队公布了2020年宁波经济成绩单。初步核算，2020年全市实现地区生产总值12408.7亿元，同比增长3.3%，增速比一季度、半年度和前三季度分别提高10.3、3.9和1.4个百分点，总体回升态势好于全国全省。</w:t>
      </w:r>
    </w:p>
    <w:p>
      <w:pPr>
        <w:spacing w:line="440" w:lineRule="exact"/>
        <w:ind w:firstLine="480" w:firstLineChars="200"/>
        <w:jc w:val="left"/>
        <w:rPr>
          <w:rFonts w:hint="eastAsia" w:cs="Times New Roman" w:asciiTheme="minorEastAsia" w:hAnsiTheme="minorEastAsia"/>
          <w:sz w:val="24"/>
          <w:szCs w:val="24"/>
        </w:rPr>
      </w:pPr>
      <w:r>
        <w:rPr>
          <w:rFonts w:hint="eastAsia" w:cs="Times New Roman" w:asciiTheme="minorEastAsia" w:hAnsiTheme="minorEastAsia"/>
          <w:sz w:val="24"/>
          <w:szCs w:val="24"/>
        </w:rPr>
        <w:t>“从经济运行情况看，供需关系持续改善，新兴动能加快培育，社会民生保障有力，全市经济运行持续回升向好。”市统计局有关负责人告诉甬派记者。</w:t>
      </w:r>
    </w:p>
    <w:p>
      <w:pPr>
        <w:spacing w:line="440" w:lineRule="exact"/>
        <w:ind w:firstLine="480" w:firstLineChars="200"/>
        <w:jc w:val="left"/>
        <w:rPr>
          <w:rFonts w:hint="eastAsia" w:cs="Times New Roman" w:asciiTheme="minorEastAsia" w:hAnsiTheme="minorEastAsia"/>
          <w:sz w:val="24"/>
          <w:szCs w:val="24"/>
        </w:rPr>
      </w:pPr>
      <w:r>
        <w:rPr>
          <w:rFonts w:hint="eastAsia" w:cs="Times New Roman" w:asciiTheme="minorEastAsia" w:hAnsiTheme="minorEastAsia"/>
          <w:sz w:val="24"/>
          <w:szCs w:val="24"/>
        </w:rPr>
        <w:t>2020年，面对极其复杂严峻的国内外形势特别是新冠肺炎疫情的严重冲击，全市上下坚决贯彻中央、省市各项决策部署，统筹推进疫情防控和经济社会发展，扎实做好“六稳”工作，全面落实“六保”任务，深入推进争先创优和“六争攻坚”行动，“两手硬、两战赢”取得积极成效。</w:t>
      </w:r>
    </w:p>
    <w:p>
      <w:pPr>
        <w:spacing w:line="440" w:lineRule="exact"/>
        <w:ind w:firstLine="480" w:firstLineChars="200"/>
        <w:jc w:val="left"/>
        <w:rPr>
          <w:rFonts w:hint="eastAsia" w:cs="Times New Roman" w:asciiTheme="minorEastAsia" w:hAnsiTheme="minorEastAsia"/>
          <w:sz w:val="24"/>
          <w:szCs w:val="24"/>
        </w:rPr>
      </w:pPr>
      <w:r>
        <w:rPr>
          <w:rFonts w:hint="eastAsia" w:cs="Times New Roman" w:asciiTheme="minorEastAsia" w:hAnsiTheme="minorEastAsia"/>
          <w:sz w:val="24"/>
          <w:szCs w:val="24"/>
        </w:rPr>
        <w:t>分产业看，第一产业实现增加值338.4亿元，增长2.1%；第二产业实现增加值5693.9亿元，增长3.0%；第三产业实现增加值6376.4亿元，增长3.6%。三次产业之比为2.7∶45.9∶51.4。一、二、三产对GDP增长的贡献率分别为1.7%、44.5%和53.8%。</w:t>
      </w:r>
    </w:p>
    <w:p>
      <w:pPr>
        <w:spacing w:line="440" w:lineRule="exact"/>
        <w:ind w:firstLine="480" w:firstLineChars="200"/>
        <w:jc w:val="left"/>
        <w:rPr>
          <w:rFonts w:hint="eastAsia" w:cs="Times New Roman" w:asciiTheme="minorEastAsia" w:hAnsiTheme="minorEastAsia"/>
          <w:sz w:val="24"/>
          <w:szCs w:val="24"/>
        </w:rPr>
      </w:pPr>
      <w:r>
        <w:rPr>
          <w:rFonts w:hint="eastAsia" w:cs="Times New Roman" w:asciiTheme="minorEastAsia" w:hAnsiTheme="minorEastAsia"/>
          <w:sz w:val="24"/>
          <w:szCs w:val="24"/>
        </w:rPr>
        <w:t>工业生产逐月回升，新兴产业增势喜人。2020年，全市规模以上工业增加值同比增长5.2%，增速比前三季度提高2.8个百分点；全市规模以上工业企业实现利润总额1552.7亿元，同比增长17.7%，实现利税总额2329.8亿元，增长11.4%。</w:t>
      </w:r>
    </w:p>
    <w:p>
      <w:pPr>
        <w:spacing w:line="440" w:lineRule="exact"/>
        <w:ind w:firstLine="480" w:firstLineChars="200"/>
        <w:jc w:val="left"/>
        <w:rPr>
          <w:rFonts w:hint="eastAsia" w:cs="Times New Roman" w:asciiTheme="minorEastAsia" w:hAnsiTheme="minorEastAsia"/>
          <w:sz w:val="24"/>
          <w:szCs w:val="24"/>
        </w:rPr>
      </w:pPr>
      <w:r>
        <w:rPr>
          <w:rFonts w:hint="eastAsia" w:cs="Times New Roman" w:asciiTheme="minorEastAsia" w:hAnsiTheme="minorEastAsia"/>
          <w:sz w:val="24"/>
          <w:szCs w:val="24"/>
        </w:rPr>
        <w:t>新动能支撑作用凸显。“246”产业集群生产形势加速向好，全年增加值增长5.6%，超过规上工业0.4个百分点，拉动规上工业增加值增速4.4个百分点。健康制造、人工智能、高技术制造、数字经济等新兴产业保持快速增长势头，增加值分别增长15.3%、14.9%、13.0%和9.7%。</w:t>
      </w:r>
    </w:p>
    <w:p>
      <w:pPr>
        <w:spacing w:line="440" w:lineRule="exact"/>
        <w:ind w:firstLine="480" w:firstLineChars="200"/>
        <w:jc w:val="left"/>
        <w:rPr>
          <w:rFonts w:hint="eastAsia" w:cs="Times New Roman" w:asciiTheme="minorEastAsia" w:hAnsiTheme="minorEastAsia"/>
          <w:sz w:val="24"/>
          <w:szCs w:val="24"/>
        </w:rPr>
      </w:pPr>
      <w:r>
        <w:rPr>
          <w:rFonts w:hint="eastAsia" w:cs="Times New Roman" w:asciiTheme="minorEastAsia" w:hAnsiTheme="minorEastAsia"/>
          <w:sz w:val="24"/>
          <w:szCs w:val="24"/>
        </w:rPr>
        <w:t>拉动经济增长的三驾马车中，固定资产投资、外贸出口表现不错。2020年，全市固定资产投资同比增长5.5%，增速比前三季度提高1.4个百分点，其中民间投资增长6.5%。全市完成外贸进出口总额9786.9亿元，同比增长6.7%，其中出口6407.0亿元，增长7.3%，外贸出口占全国份额由上年的3.46%提高到3.57%。</w:t>
      </w:r>
    </w:p>
    <w:p>
      <w:pPr>
        <w:spacing w:line="440" w:lineRule="exact"/>
        <w:ind w:firstLine="480" w:firstLineChars="200"/>
        <w:jc w:val="left"/>
        <w:rPr>
          <w:rFonts w:hint="eastAsia" w:cs="Times New Roman" w:asciiTheme="minorEastAsia" w:hAnsiTheme="minorEastAsia"/>
          <w:sz w:val="24"/>
          <w:szCs w:val="24"/>
        </w:rPr>
      </w:pPr>
      <w:r>
        <w:rPr>
          <w:rFonts w:hint="eastAsia" w:cs="Times New Roman" w:asciiTheme="minorEastAsia" w:hAnsiTheme="minorEastAsia"/>
          <w:sz w:val="24"/>
          <w:szCs w:val="24"/>
        </w:rPr>
        <w:t>服务业稳步复苏，金融业带动有力。2020年，全市实现服务业增加值同比增长3.6%，增速比前三季度提高0.5个百分点，占GDP比重为51.4%，比上年提高1.3个百分点。其中，金融业增长8.7%，营利性服务业增长4.4%，房地产业增长4.3%，批发零售业增长3.5%，合计对服务业增长的贡献率达100.9%。</w:t>
      </w:r>
    </w:p>
    <w:p>
      <w:pPr>
        <w:spacing w:line="440" w:lineRule="exact"/>
        <w:ind w:firstLine="480" w:firstLineChars="200"/>
        <w:jc w:val="left"/>
        <w:rPr>
          <w:rFonts w:hint="eastAsia" w:cs="Times New Roman" w:asciiTheme="minorEastAsia" w:hAnsiTheme="minorEastAsia"/>
          <w:sz w:val="24"/>
          <w:szCs w:val="24"/>
          <w:lang w:eastAsia="zh-CN"/>
        </w:rPr>
        <w:sectPr>
          <w:type w:val="continuous"/>
          <w:pgSz w:w="11906" w:h="16838"/>
          <w:pgMar w:top="1440" w:right="1800" w:bottom="1440" w:left="1800" w:header="851" w:footer="992" w:gutter="0"/>
          <w:cols w:equalWidth="0" w:num="2">
            <w:col w:w="3940" w:space="425"/>
            <w:col w:w="3940"/>
          </w:cols>
          <w:docGrid w:type="lines" w:linePitch="312" w:charSpace="0"/>
        </w:sectPr>
      </w:pPr>
      <w:r>
        <w:rPr>
          <w:rFonts w:hint="eastAsia" w:cs="Times New Roman" w:asciiTheme="minorEastAsia" w:hAnsiTheme="minorEastAsia"/>
          <w:sz w:val="24"/>
          <w:szCs w:val="24"/>
        </w:rPr>
        <w:t>居民收入与经济同步增长，城乡居民人均收入比继续缩小。2020年，全市居民人均可支配收入59952元，同比名义增长5.2%，扣除价格因素实际增长3.2%，与经济增长基本同步。按常住地分，城镇居民人均可支配收入68008元，农村居民人均可支配收入39132元，城乡居民人均收入比值为1.74，比上年缩小0.03。</w:t>
      </w:r>
      <w:r>
        <w:rPr>
          <w:rFonts w:hint="eastAsia" w:cs="Times New Roman" w:asciiTheme="minorEastAsia" w:hAnsiTheme="minorEastAsia"/>
          <w:sz w:val="24"/>
          <w:szCs w:val="24"/>
          <w:lang w:eastAsia="zh-CN"/>
        </w:rPr>
        <w:t>（</w:t>
      </w:r>
      <w:r>
        <w:rPr>
          <w:rFonts w:hint="eastAsia" w:cs="Times New Roman" w:asciiTheme="minorEastAsia" w:hAnsiTheme="minorEastAsia"/>
          <w:sz w:val="24"/>
          <w:szCs w:val="24"/>
        </w:rPr>
        <w:t>甬派2021-01-26</w:t>
      </w:r>
      <w:r>
        <w:rPr>
          <w:rFonts w:hint="eastAsia" w:cs="Times New Roman" w:asciiTheme="minorEastAsia" w:hAnsiTheme="minorEastAsia"/>
          <w:sz w:val="24"/>
          <w:szCs w:val="24"/>
          <w:lang w:eastAsia="zh-CN"/>
        </w:rPr>
        <w:t>）</w:t>
      </w:r>
    </w:p>
    <w:p>
      <w:pPr>
        <w:spacing w:line="440" w:lineRule="exact"/>
        <w:ind w:firstLine="480" w:firstLineChars="200"/>
        <w:jc w:val="left"/>
        <w:rPr>
          <w:rFonts w:hint="eastAsia" w:cs="Times New Roman" w:asciiTheme="minorEastAsia" w:hAnsiTheme="minorEastAsia"/>
          <w:sz w:val="24"/>
          <w:szCs w:val="24"/>
          <w:lang w:eastAsia="zh-CN"/>
        </w:rPr>
      </w:pPr>
    </w:p>
    <w:p>
      <w:pPr>
        <w:spacing w:line="440" w:lineRule="exact"/>
        <w:ind w:firstLine="480" w:firstLineChars="200"/>
        <w:jc w:val="left"/>
        <w:rPr>
          <w:rFonts w:hint="eastAsia" w:cs="Times New Roman" w:asciiTheme="minorEastAsia" w:hAnsiTheme="minorEastAsia"/>
          <w:sz w:val="24"/>
          <w:szCs w:val="24"/>
          <w:lang w:eastAsia="zh-CN"/>
        </w:rPr>
      </w:pPr>
    </w:p>
    <w:p>
      <w:pPr>
        <w:spacing w:line="440" w:lineRule="exact"/>
        <w:jc w:val="center"/>
        <w:rPr>
          <w:rFonts w:hint="eastAsia" w:ascii="楷体_GB2312" w:eastAsia="楷体_GB2312" w:cs="Times New Roman" w:hAnsiTheme="minorEastAsia"/>
          <w:b/>
          <w:bCs/>
          <w:sz w:val="36"/>
          <w:szCs w:val="36"/>
        </w:rPr>
      </w:pPr>
    </w:p>
    <w:p>
      <w:pPr>
        <w:spacing w:line="440" w:lineRule="exact"/>
        <w:jc w:val="center"/>
        <w:rPr>
          <w:rFonts w:ascii="楷体_GB2312" w:eastAsia="楷体_GB2312" w:cs="Times New Roman" w:hAnsiTheme="minorEastAsia"/>
          <w:b/>
          <w:bCs/>
          <w:sz w:val="36"/>
          <w:szCs w:val="36"/>
        </w:rPr>
      </w:pPr>
      <w:r>
        <w:rPr>
          <w:rFonts w:hint="eastAsia" w:ascii="楷体_GB2312" w:eastAsia="楷体_GB2312" w:cs="Times New Roman" w:hAnsiTheme="minorEastAsia"/>
          <w:b/>
          <w:bCs/>
          <w:sz w:val="36"/>
          <w:szCs w:val="36"/>
        </w:rPr>
        <w:t>中国信保携手宁波银行发布“出口微贷信保版”</w:t>
      </w:r>
    </w:p>
    <w:p>
      <w:pPr>
        <w:spacing w:line="440" w:lineRule="exact"/>
        <w:ind w:firstLine="480" w:firstLineChars="200"/>
        <w:jc w:val="left"/>
        <w:rPr>
          <w:rFonts w:cs="Times New Roman" w:asciiTheme="minorEastAsia" w:hAnsiTheme="minorEastAsia"/>
          <w:sz w:val="24"/>
          <w:szCs w:val="24"/>
        </w:rPr>
      </w:pPr>
    </w:p>
    <w:p>
      <w:pPr>
        <w:spacing w:line="440" w:lineRule="exact"/>
        <w:ind w:firstLine="480" w:firstLineChars="200"/>
        <w:jc w:val="left"/>
        <w:rPr>
          <w:rFonts w:cs="Times New Roman" w:asciiTheme="minorEastAsia" w:hAnsiTheme="minorEastAsia"/>
          <w:sz w:val="24"/>
          <w:szCs w:val="24"/>
        </w:rPr>
        <w:sectPr>
          <w:type w:val="continuous"/>
          <w:pgSz w:w="11906" w:h="16838"/>
          <w:pgMar w:top="1440" w:right="1800" w:bottom="1440" w:left="1800" w:header="851" w:footer="992" w:gutter="0"/>
          <w:cols w:space="425" w:num="1"/>
          <w:docGrid w:type="lines" w:linePitch="312" w:charSpace="0"/>
        </w:sectPr>
      </w:pPr>
    </w:p>
    <w:p>
      <w:pPr>
        <w:spacing w:line="440" w:lineRule="exact"/>
        <w:ind w:firstLine="480" w:firstLineChars="200"/>
        <w:jc w:val="left"/>
        <w:rPr>
          <w:rFonts w:cs="Times New Roman" w:asciiTheme="minorEastAsia" w:hAnsiTheme="minorEastAsia"/>
          <w:sz w:val="24"/>
          <w:szCs w:val="24"/>
        </w:rPr>
      </w:pPr>
      <w:r>
        <w:rPr>
          <w:rFonts w:hint="eastAsia" w:cs="Times New Roman" w:asciiTheme="minorEastAsia" w:hAnsiTheme="minorEastAsia"/>
          <w:sz w:val="24"/>
          <w:szCs w:val="24"/>
          <w:lang w:val="en-US" w:eastAsia="zh-CN"/>
        </w:rPr>
        <w:t>2020年</w:t>
      </w:r>
      <w:r>
        <w:rPr>
          <w:rFonts w:hint="eastAsia" w:cs="Times New Roman" w:asciiTheme="minorEastAsia" w:hAnsiTheme="minorEastAsia"/>
          <w:sz w:val="24"/>
          <w:szCs w:val="24"/>
        </w:rPr>
        <w:t>12月4日消息，宁波银行与中国出口信用保险公司（以下简称“中国信保”）联合发布“出口微贷信保版”，对连续投保信保2年以上且无不良承保记录的宁波银行出口微贷客户，调增10%至30%的信用额度，单笔限额提升至50万美元。</w:t>
      </w:r>
    </w:p>
    <w:p>
      <w:pPr>
        <w:spacing w:line="440" w:lineRule="exact"/>
        <w:jc w:val="left"/>
        <w:rPr>
          <w:rFonts w:cs="Times New Roman" w:asciiTheme="minorEastAsia" w:hAnsiTheme="minorEastAsia"/>
          <w:sz w:val="24"/>
          <w:szCs w:val="24"/>
        </w:rPr>
      </w:pPr>
      <w:r>
        <w:rPr>
          <w:rFonts w:hint="eastAsia" w:cs="Times New Roman" w:asciiTheme="minorEastAsia" w:hAnsiTheme="minorEastAsia"/>
          <w:sz w:val="24"/>
          <w:szCs w:val="24"/>
        </w:rPr>
        <w:t xml:space="preserve">    宁波银行本次与中国信保联合，通过引入信用保险的风险保障，发布创新产品，帮助企业实现授信增额，为外贸企业发展保驾护航，为业内提供了银保携手支持外贸企业的样本。</w:t>
      </w:r>
    </w:p>
    <w:p>
      <w:pPr>
        <w:spacing w:line="440" w:lineRule="exact"/>
        <w:jc w:val="left"/>
        <w:rPr>
          <w:rFonts w:cs="Times New Roman" w:asciiTheme="minorEastAsia" w:hAnsiTheme="minorEastAsia"/>
          <w:sz w:val="24"/>
          <w:szCs w:val="24"/>
        </w:rPr>
      </w:pPr>
      <w:r>
        <w:rPr>
          <w:rFonts w:hint="eastAsia" w:cs="Times New Roman" w:asciiTheme="minorEastAsia" w:hAnsiTheme="minorEastAsia"/>
          <w:sz w:val="24"/>
          <w:szCs w:val="24"/>
        </w:rPr>
        <w:t xml:space="preserve">    中国信保是由国家出资设立、支持中国对外经济贸易发展与合作、具有独立法人地位的国有政策性保险公司，于2001年12月18日正式挂牌运营，服务网络覆盖全国。截至2019年末，中国信保累计支持的国内外贸易和投资规模超过4.6万亿美元，为超过16万家企业提供了信用保险及相关服务，累计向企业支付赔款141.6亿美元，累计带动200多家银行为出口企业融资超过3.6万亿元。 </w:t>
      </w:r>
    </w:p>
    <w:p>
      <w:pPr>
        <w:spacing w:line="440" w:lineRule="exact"/>
        <w:jc w:val="left"/>
        <w:rPr>
          <w:rFonts w:cs="Times New Roman" w:asciiTheme="minorEastAsia" w:hAnsiTheme="minorEastAsia"/>
          <w:sz w:val="24"/>
          <w:szCs w:val="24"/>
        </w:rPr>
      </w:pPr>
      <w:r>
        <w:rPr>
          <w:rFonts w:hint="eastAsia" w:cs="Times New Roman" w:asciiTheme="minorEastAsia" w:hAnsiTheme="minorEastAsia"/>
          <w:sz w:val="24"/>
          <w:szCs w:val="24"/>
        </w:rPr>
        <w:t xml:space="preserve">    宁波银行外汇业务开办于2001年，经过20年的发展，服务客户数已达3.2万家，截至2020年10月末，宁波银行全行国际业务结算量超过1100亿美元，区域市场份额不断提升。宁波银行依托金融科技，致力于打造业内领先的外汇业务线上服务平台，历时5年打造“外汇金管家”线上一站式平台，集进出口汇兑、外汇交易、贸易融资于一体，在疫情期间不间断为2万多家进出口企业提供全流程、全功能、零接触服务，同步开展手续费全免让利活动，以实际行动支持外贸企业。</w:t>
      </w:r>
    </w:p>
    <w:p>
      <w:pPr>
        <w:spacing w:line="440" w:lineRule="exact"/>
        <w:jc w:val="left"/>
        <w:rPr>
          <w:rFonts w:cs="Times New Roman" w:asciiTheme="minorEastAsia" w:hAnsiTheme="minorEastAsia"/>
          <w:sz w:val="24"/>
          <w:szCs w:val="24"/>
        </w:rPr>
      </w:pPr>
      <w:r>
        <w:rPr>
          <w:rFonts w:hint="eastAsia" w:cs="Times New Roman" w:asciiTheme="minorEastAsia" w:hAnsiTheme="minorEastAsia"/>
          <w:sz w:val="24"/>
          <w:szCs w:val="24"/>
        </w:rPr>
        <w:t xml:space="preserve">    2020年，“外汇金管家”全新升级，推出了跨境电商收款、出口微贷、跨境资金池等创新产品。在国家外汇管理局宁波市分局大力支持下，宁波银行成为全国首家对接外管跨境区块链平台的银行，并创新运用大数据风控技术，2020年7月在全国首创线上融资产品“出口微贷”。</w:t>
      </w:r>
    </w:p>
    <w:p>
      <w:pPr>
        <w:spacing w:line="440" w:lineRule="exact"/>
        <w:jc w:val="left"/>
        <w:rPr>
          <w:rFonts w:cs="Times New Roman" w:asciiTheme="minorEastAsia" w:hAnsiTheme="minorEastAsia"/>
          <w:sz w:val="24"/>
          <w:szCs w:val="24"/>
        </w:rPr>
      </w:pPr>
      <w:r>
        <w:rPr>
          <w:rFonts w:hint="eastAsia" w:cs="Times New Roman" w:asciiTheme="minorEastAsia" w:hAnsiTheme="minorEastAsia"/>
          <w:sz w:val="24"/>
          <w:szCs w:val="24"/>
        </w:rPr>
        <w:t xml:space="preserve">    “出口微贷”应用国家外汇管理局区块链平台“企业跨境信用信息授权查证场景”，通过数据模型自动核算授信额度，全线上操作、全自动审批，资金最快10分钟到账，为出口企业提供无抵押的纯信用贷款，有效拓宽中小出口企业融资渠道，截至2020年11月，“出口微贷”获批客户近1000家，获批额度近1亿美元，大大降低了中小出口企业信用贷款门槛。</w:t>
      </w:r>
    </w:p>
    <w:p>
      <w:pPr>
        <w:spacing w:line="440" w:lineRule="exact"/>
        <w:jc w:val="left"/>
        <w:rPr>
          <w:rFonts w:cs="Times New Roman" w:asciiTheme="minorEastAsia" w:hAnsiTheme="minorEastAsia"/>
          <w:sz w:val="24"/>
          <w:szCs w:val="24"/>
        </w:rPr>
      </w:pPr>
      <w:r>
        <w:rPr>
          <w:rFonts w:hint="eastAsia" w:cs="Times New Roman" w:asciiTheme="minorEastAsia" w:hAnsiTheme="minorEastAsia"/>
          <w:sz w:val="24"/>
          <w:szCs w:val="24"/>
        </w:rPr>
        <w:t xml:space="preserve">    宁波银行将立足当下，着眼长远，在行业“科技化、市场化、国际化”的发展进程中继续寻找比较优势，加快数字化经营，秉承为客户创造价值的理念，不断提升外汇业务的核心竞争力，以专业的力量服务实体经济。</w:t>
      </w:r>
    </w:p>
    <w:p>
      <w:pPr>
        <w:spacing w:line="440" w:lineRule="exact"/>
        <w:jc w:val="left"/>
        <w:rPr>
          <w:rFonts w:cs="Times New Roman" w:asciiTheme="minorEastAsia" w:hAnsiTheme="minorEastAsia"/>
          <w:sz w:val="24"/>
          <w:szCs w:val="24"/>
        </w:rPr>
        <w:sectPr>
          <w:type w:val="continuous"/>
          <w:pgSz w:w="11906" w:h="16838"/>
          <w:pgMar w:top="1440" w:right="1800" w:bottom="1440" w:left="1800" w:header="851" w:footer="992" w:gutter="0"/>
          <w:cols w:space="425" w:num="2"/>
          <w:docGrid w:type="lines" w:linePitch="312" w:charSpace="0"/>
        </w:sectPr>
      </w:pPr>
      <w:r>
        <w:rPr>
          <w:rFonts w:hint="eastAsia" w:cs="Times New Roman" w:asciiTheme="minorEastAsia" w:hAnsiTheme="minorEastAsia"/>
          <w:sz w:val="24"/>
          <w:szCs w:val="24"/>
        </w:rPr>
        <w:t>（宁波日报12-04）</w:t>
      </w:r>
    </w:p>
    <w:p>
      <w:pPr>
        <w:spacing w:line="440" w:lineRule="exact"/>
        <w:jc w:val="left"/>
        <w:rPr>
          <w:rFonts w:cs="Times New Roman" w:asciiTheme="minorEastAsia" w:hAnsiTheme="minorEastAsia"/>
          <w:sz w:val="24"/>
          <w:szCs w:val="24"/>
        </w:rPr>
      </w:pPr>
    </w:p>
    <w:p>
      <w:pPr>
        <w:spacing w:line="440" w:lineRule="exact"/>
        <w:jc w:val="left"/>
        <w:rPr>
          <w:rFonts w:cs="Times New Roman" w:asciiTheme="minorEastAsia" w:hAnsiTheme="minorEastAsia"/>
          <w:sz w:val="24"/>
          <w:szCs w:val="24"/>
        </w:rPr>
      </w:pPr>
    </w:p>
    <w:p>
      <w:pPr>
        <w:spacing w:line="440" w:lineRule="exact"/>
        <w:jc w:val="left"/>
        <w:rPr>
          <w:rFonts w:cs="Times New Roman" w:asciiTheme="minorEastAsia" w:hAnsiTheme="minorEastAsia"/>
          <w:sz w:val="24"/>
          <w:szCs w:val="24"/>
        </w:rPr>
      </w:pPr>
    </w:p>
    <w:p>
      <w:pPr>
        <w:spacing w:line="440" w:lineRule="exact"/>
        <w:ind w:firstLine="560" w:firstLineChars="200"/>
        <w:jc w:val="center"/>
        <w:rPr>
          <w:rFonts w:ascii="华文细黑" w:hAnsi="华文细黑" w:eastAsia="华文细黑"/>
          <w:sz w:val="28"/>
          <w:szCs w:val="28"/>
        </w:rPr>
      </w:pPr>
      <w:r>
        <w:rPr>
          <w:rFonts w:hint="eastAsia" w:ascii="华文细黑" w:hAnsi="华文细黑" w:eastAsia="华文细黑"/>
          <w:sz w:val="28"/>
          <w:szCs w:val="28"/>
        </w:rPr>
        <w:t>对外开放平台再升级，功能更全面</w:t>
      </w:r>
    </w:p>
    <w:p>
      <w:pPr>
        <w:spacing w:line="440" w:lineRule="exact"/>
        <w:ind w:firstLine="723" w:firstLineChars="200"/>
        <w:jc w:val="center"/>
        <w:rPr>
          <w:rFonts w:ascii="楷体_GB2312" w:eastAsia="楷体_GB2312" w:hAnsiTheme="minorEastAsia"/>
          <w:b/>
          <w:bCs/>
          <w:sz w:val="36"/>
          <w:szCs w:val="36"/>
        </w:rPr>
      </w:pPr>
      <w:r>
        <w:rPr>
          <w:rFonts w:hint="eastAsia" w:ascii="楷体_GB2312" w:eastAsia="楷体_GB2312" w:hAnsiTheme="minorEastAsia"/>
          <w:b/>
          <w:bCs/>
          <w:sz w:val="36"/>
          <w:szCs w:val="36"/>
        </w:rPr>
        <w:t>宁波前湾综合保税区通过现场封关验收</w:t>
      </w:r>
    </w:p>
    <w:p>
      <w:pPr>
        <w:spacing w:line="440" w:lineRule="exact"/>
        <w:ind w:firstLine="480" w:firstLineChars="200"/>
        <w:jc w:val="left"/>
        <w:rPr>
          <w:rFonts w:cs="Times New Roman" w:asciiTheme="minorEastAsia" w:hAnsiTheme="minorEastAsia"/>
          <w:sz w:val="24"/>
          <w:szCs w:val="24"/>
        </w:rPr>
      </w:pPr>
    </w:p>
    <w:p>
      <w:pPr>
        <w:spacing w:line="440" w:lineRule="exact"/>
        <w:ind w:firstLine="480" w:firstLineChars="200"/>
        <w:jc w:val="left"/>
        <w:rPr>
          <w:rFonts w:cs="Times New Roman" w:asciiTheme="minorEastAsia" w:hAnsiTheme="minorEastAsia"/>
          <w:sz w:val="24"/>
          <w:szCs w:val="24"/>
        </w:rPr>
        <w:sectPr>
          <w:type w:val="continuous"/>
          <w:pgSz w:w="11906" w:h="16838"/>
          <w:pgMar w:top="1440" w:right="1800" w:bottom="1440" w:left="1800" w:header="851" w:footer="992" w:gutter="0"/>
          <w:cols w:space="425" w:num="1"/>
          <w:docGrid w:type="lines" w:linePitch="312" w:charSpace="0"/>
        </w:sectPr>
      </w:pPr>
    </w:p>
    <w:p>
      <w:pPr>
        <w:spacing w:line="440" w:lineRule="exact"/>
        <w:ind w:firstLine="480" w:firstLineChars="200"/>
        <w:jc w:val="left"/>
        <w:rPr>
          <w:rFonts w:cs="Times New Roman" w:asciiTheme="minorEastAsia" w:hAnsiTheme="minorEastAsia"/>
          <w:sz w:val="24"/>
          <w:szCs w:val="24"/>
        </w:rPr>
      </w:pPr>
      <w:r>
        <w:rPr>
          <w:rFonts w:hint="eastAsia" w:cs="Times New Roman" w:asciiTheme="minorEastAsia" w:hAnsiTheme="minorEastAsia"/>
          <w:sz w:val="24"/>
          <w:szCs w:val="24"/>
          <w:lang w:val="en-US" w:eastAsia="zh-CN"/>
        </w:rPr>
        <w:t>2020年</w:t>
      </w:r>
      <w:r>
        <w:rPr>
          <w:rFonts w:hint="eastAsia" w:cs="Times New Roman" w:asciiTheme="minorEastAsia" w:hAnsiTheme="minorEastAsia"/>
          <w:sz w:val="24"/>
          <w:szCs w:val="24"/>
        </w:rPr>
        <w:t>12月29日，位于杭州湾新区的宁波前湾综合保税区通过现场封关验收。这标志着杭州湾新区对外开放平台再升级，功能更加全面，对杭州湾新区承担好浙沪合作示范区、前湾新区核心区和大湾区高质量发展先行区的使命具有重要意义。</w:t>
      </w:r>
    </w:p>
    <w:p>
      <w:pPr>
        <w:spacing w:line="440" w:lineRule="exact"/>
        <w:ind w:firstLine="200"/>
        <w:jc w:val="left"/>
        <w:rPr>
          <w:rFonts w:cs="Times New Roman" w:asciiTheme="minorEastAsia" w:hAnsiTheme="minorEastAsia"/>
          <w:sz w:val="24"/>
          <w:szCs w:val="24"/>
        </w:rPr>
      </w:pPr>
      <w:r>
        <w:rPr>
          <w:rFonts w:hint="eastAsia" w:cs="Times New Roman" w:asciiTheme="minorEastAsia" w:hAnsiTheme="minorEastAsia"/>
          <w:sz w:val="24"/>
          <w:szCs w:val="24"/>
        </w:rPr>
        <w:t xml:space="preserve">  什么是综合保税区？综合保税区有哪些功能和优惠政策？</w:t>
      </w:r>
    </w:p>
    <w:p>
      <w:pPr>
        <w:spacing w:line="440" w:lineRule="exact"/>
        <w:ind w:firstLine="200"/>
        <w:jc w:val="left"/>
        <w:rPr>
          <w:rFonts w:cs="Times New Roman" w:asciiTheme="minorEastAsia" w:hAnsiTheme="minorEastAsia"/>
          <w:sz w:val="24"/>
          <w:szCs w:val="24"/>
        </w:rPr>
      </w:pPr>
      <w:r>
        <w:rPr>
          <w:rFonts w:hint="eastAsia" w:cs="Times New Roman" w:asciiTheme="minorEastAsia" w:hAnsiTheme="minorEastAsia"/>
          <w:sz w:val="24"/>
          <w:szCs w:val="24"/>
        </w:rPr>
        <w:t xml:space="preserve">  所谓综合保税区，是经国务院批准，设立在中华人民共和国关境内，实施封闭监管，以保税加工、保税物流和保税服务为基本功能并赋予配套的特定税收、监管政策的特定功能区。除相关法律、法规禁止开展的业务外，综合保税区内的企业可以开展加工制造、研发设计、物流分拨、检测维修及再制造、销售服务、港口作业、中转集拼，以及经海关批准的其他业务。</w:t>
      </w:r>
    </w:p>
    <w:p>
      <w:pPr>
        <w:spacing w:line="440" w:lineRule="exact"/>
        <w:ind w:firstLine="200"/>
        <w:jc w:val="left"/>
        <w:rPr>
          <w:rFonts w:cs="Times New Roman" w:asciiTheme="minorEastAsia" w:hAnsiTheme="minorEastAsia"/>
          <w:sz w:val="24"/>
          <w:szCs w:val="24"/>
        </w:rPr>
      </w:pPr>
      <w:r>
        <w:rPr>
          <w:rFonts w:hint="eastAsia" w:cs="Times New Roman" w:asciiTheme="minorEastAsia" w:hAnsiTheme="minorEastAsia"/>
          <w:sz w:val="24"/>
          <w:szCs w:val="24"/>
        </w:rPr>
        <w:t xml:space="preserve">  综合保税区是目前国内开放层次最高、优惠政策最多、功能最齐全、手续最简化的海关特殊监管区域，对发展对外贸易、吸引投资、促进产业转型升级等发挥着重要作用。为支持综合保税区高水平开放高质量发展，国务院专门出台《关于促进综合保税区高水平开放高质量发展的若干意见》21条支持措施，宁波海关配套出台《促进宁波综保区高水平开放高质量发展若干举措》共24条，积极推动综合保税区发展成为具有全球影响力和竞争力的加工制造中心、研发设计中心、物流分拨中心、检测维修中心和销售服务中心。</w:t>
      </w:r>
    </w:p>
    <w:p>
      <w:pPr>
        <w:spacing w:line="440" w:lineRule="exact"/>
        <w:ind w:firstLine="200"/>
        <w:jc w:val="left"/>
        <w:rPr>
          <w:rFonts w:cs="Times New Roman" w:asciiTheme="minorEastAsia" w:hAnsiTheme="minorEastAsia"/>
          <w:sz w:val="24"/>
          <w:szCs w:val="24"/>
        </w:rPr>
      </w:pPr>
      <w:r>
        <w:rPr>
          <w:rFonts w:hint="eastAsia" w:cs="Times New Roman" w:asciiTheme="minorEastAsia" w:hAnsiTheme="minorEastAsia"/>
          <w:sz w:val="24"/>
          <w:szCs w:val="24"/>
        </w:rPr>
        <w:t xml:space="preserve">  等级最高的特殊监管区，为何花落杭州湾新区？</w:t>
      </w:r>
    </w:p>
    <w:p>
      <w:pPr>
        <w:spacing w:line="440" w:lineRule="exact"/>
        <w:ind w:firstLine="200"/>
        <w:jc w:val="left"/>
        <w:rPr>
          <w:rFonts w:cs="Times New Roman" w:asciiTheme="minorEastAsia" w:hAnsiTheme="minorEastAsia"/>
          <w:sz w:val="24"/>
          <w:szCs w:val="24"/>
        </w:rPr>
      </w:pPr>
      <w:r>
        <w:rPr>
          <w:rFonts w:hint="eastAsia" w:cs="Times New Roman" w:asciiTheme="minorEastAsia" w:hAnsiTheme="minorEastAsia"/>
          <w:sz w:val="24"/>
          <w:szCs w:val="24"/>
        </w:rPr>
        <w:t xml:space="preserve">  宁波前湾综合保税区批复面积0.71平方公里，前身是浙江慈溪出口加工区，于2005年6月经国务院批准设立，2006年11月通过海关总署等九部委联合验收，正式封关运作。经过十多年的发展，形成了以跨境电商网购保税进口为主，保税仓储、出口集拼、进口分销等为辅的业务特色。</w:t>
      </w:r>
    </w:p>
    <w:p>
      <w:pPr>
        <w:spacing w:line="440" w:lineRule="exact"/>
        <w:ind w:firstLine="200"/>
        <w:jc w:val="left"/>
        <w:rPr>
          <w:rFonts w:cs="Times New Roman" w:asciiTheme="minorEastAsia" w:hAnsiTheme="minorEastAsia"/>
          <w:sz w:val="24"/>
          <w:szCs w:val="24"/>
        </w:rPr>
      </w:pPr>
      <w:r>
        <w:rPr>
          <w:rFonts w:hint="eastAsia" w:cs="Times New Roman" w:asciiTheme="minorEastAsia" w:hAnsiTheme="minorEastAsia"/>
          <w:sz w:val="24"/>
          <w:szCs w:val="24"/>
        </w:rPr>
        <w:t xml:space="preserve">  自2016年5月份被列为第一批中国（宁波）跨境电子商务综合试验区园区后，出口加工区跨境电商产业各项指标增长迅猛，2017年跨境电商进口货值突破14亿元；2018年货值实现翻番；2019年实现跨境电商进出口交易额8.61亿美元，完成进出区货值总额85.01亿元；2020年4月，国务院批复出口加工区整合优化为宁波前湾综合保税区，今年1-11月，宁波前湾综合保税区实现外贸进出口值34.64亿元，同比增长31.85%，跨境电商网购保税进口清单2306.69万票，货值40.34亿元，同比分别增长34.2%和45%。</w:t>
      </w:r>
    </w:p>
    <w:p>
      <w:pPr>
        <w:spacing w:line="440" w:lineRule="exact"/>
        <w:ind w:firstLine="200"/>
        <w:jc w:val="left"/>
        <w:rPr>
          <w:rFonts w:cs="Times New Roman" w:asciiTheme="minorEastAsia" w:hAnsiTheme="minorEastAsia"/>
          <w:sz w:val="24"/>
          <w:szCs w:val="24"/>
        </w:rPr>
      </w:pPr>
      <w:r>
        <w:rPr>
          <w:rFonts w:hint="eastAsia" w:cs="Times New Roman" w:asciiTheme="minorEastAsia" w:hAnsiTheme="minorEastAsia"/>
          <w:sz w:val="24"/>
          <w:szCs w:val="24"/>
        </w:rPr>
        <w:t xml:space="preserve">  2019年以来，杭州湾新区以出口加工区为依托，围绕“物流分拨、检测维修、研发设计”三大中心打造，园区经济实力不断增强，优势产业加快形成，营商环境不断优化，保持了良好的发展势头。</w:t>
      </w:r>
    </w:p>
    <w:p>
      <w:pPr>
        <w:spacing w:line="440" w:lineRule="exact"/>
        <w:ind w:firstLine="200"/>
        <w:jc w:val="left"/>
        <w:rPr>
          <w:rFonts w:cs="Times New Roman" w:asciiTheme="minorEastAsia" w:hAnsiTheme="minorEastAsia"/>
          <w:sz w:val="24"/>
          <w:szCs w:val="24"/>
        </w:rPr>
      </w:pPr>
      <w:r>
        <w:rPr>
          <w:rFonts w:hint="eastAsia" w:cs="Times New Roman" w:asciiTheme="minorEastAsia" w:hAnsiTheme="minorEastAsia"/>
          <w:sz w:val="24"/>
          <w:szCs w:val="24"/>
        </w:rPr>
        <w:t xml:space="preserve">  根据区内跨境电商特色产业的发展，新区商务和市场监督管理局（宁波前湾综合保税区管理局）积极配合新区海关试点开展“同仓存储、同包发货”“退货中心仓”“一盘货出口”等业务监管新模式。</w:t>
      </w:r>
    </w:p>
    <w:p>
      <w:pPr>
        <w:spacing w:line="440" w:lineRule="exact"/>
        <w:ind w:firstLine="200"/>
        <w:jc w:val="left"/>
        <w:rPr>
          <w:rFonts w:cs="Times New Roman" w:asciiTheme="minorEastAsia" w:hAnsiTheme="minorEastAsia"/>
          <w:sz w:val="24"/>
          <w:szCs w:val="24"/>
        </w:rPr>
      </w:pPr>
      <w:r>
        <w:rPr>
          <w:rFonts w:hint="eastAsia" w:cs="Times New Roman" w:asciiTheme="minorEastAsia" w:hAnsiTheme="minorEastAsia"/>
          <w:sz w:val="24"/>
          <w:szCs w:val="24"/>
        </w:rPr>
        <w:t xml:space="preserve">  数据显示，截至11月底，“同仓存储、同包发货”新模式已累计放行同仓存储的大贸商品单独发货217.59万单，货值3.87亿元；跨境商品和大贸商品同包发货3.06万单，货值645.01万元。“退货中心仓”累计接收跨境商品退货80.12万件，货值约5600万元，为企业增加营业收入约136万元。“一盘货出口”业务共放行跨境电商包裹零售出口商品3630票，货值133.09万元。</w:t>
      </w:r>
    </w:p>
    <w:p>
      <w:pPr>
        <w:spacing w:line="440" w:lineRule="exact"/>
        <w:ind w:firstLine="200"/>
        <w:jc w:val="left"/>
        <w:rPr>
          <w:rFonts w:cs="Times New Roman" w:asciiTheme="minorEastAsia" w:hAnsiTheme="minorEastAsia"/>
          <w:sz w:val="24"/>
          <w:szCs w:val="24"/>
        </w:rPr>
      </w:pPr>
      <w:r>
        <w:rPr>
          <w:rFonts w:hint="eastAsia" w:cs="Times New Roman" w:asciiTheme="minorEastAsia" w:hAnsiTheme="minorEastAsia"/>
          <w:sz w:val="24"/>
          <w:szCs w:val="24"/>
        </w:rPr>
        <w:t xml:space="preserve">  截至11月底，宁波前湾综合保税区累计完成固定资产投资总额16.7亿元，吸引了菜鸟跨境自动化标杆仓、永强集团户外休闲用品出口集拼中心、美国沛弗埃轴承产品出口集拼中心、香港上市企业兴业盛泰铜材进口分销中心等一批项目入驻运营。今年以来，根据综保区政策，进一步优化进出区货物流程，打通境内境外两个市场，吸引了以电子商务为主要业务的赛诺韦尔科技（浙江）有限公司、宁波搜酷科技发展有限公司及雅迪电动车出口中心等多个项目，部分已经建成运营，另有多个上市企业的项目正在洽谈中。</w:t>
      </w:r>
    </w:p>
    <w:p>
      <w:pPr>
        <w:spacing w:line="440" w:lineRule="exact"/>
        <w:ind w:firstLine="200"/>
        <w:jc w:val="left"/>
        <w:rPr>
          <w:rFonts w:cs="Times New Roman" w:asciiTheme="minorEastAsia" w:hAnsiTheme="minorEastAsia"/>
          <w:sz w:val="24"/>
          <w:szCs w:val="24"/>
        </w:rPr>
      </w:pPr>
      <w:r>
        <w:rPr>
          <w:rFonts w:hint="eastAsia" w:cs="Times New Roman" w:asciiTheme="minorEastAsia" w:hAnsiTheme="minorEastAsia"/>
          <w:sz w:val="24"/>
          <w:szCs w:val="24"/>
        </w:rPr>
        <w:t xml:space="preserve">  为擦亮综保区“金招牌”，杭州湾新区有哪些产业支持政策?</w:t>
      </w:r>
    </w:p>
    <w:p>
      <w:pPr>
        <w:spacing w:line="440" w:lineRule="exact"/>
        <w:ind w:firstLine="200"/>
        <w:jc w:val="left"/>
        <w:rPr>
          <w:rFonts w:cs="Times New Roman" w:asciiTheme="minorEastAsia" w:hAnsiTheme="minorEastAsia"/>
          <w:sz w:val="24"/>
          <w:szCs w:val="24"/>
        </w:rPr>
      </w:pPr>
      <w:r>
        <w:rPr>
          <w:rFonts w:hint="eastAsia" w:cs="Times New Roman" w:asciiTheme="minorEastAsia" w:hAnsiTheme="minorEastAsia"/>
          <w:sz w:val="24"/>
          <w:szCs w:val="24"/>
        </w:rPr>
        <w:t xml:space="preserve">  杭州湾新区相关负责人表示，通过宁波前湾综合保税区这个更高层次的对外开放平台，可以为企业投资发展、产业转型升级、提高竞争力创造更优越的营商环境，可以支持企业用足用好相关政策统筹国内国际两个市场、两种资源，努力构建国内国际双循环相互促进的新发展格局。</w:t>
      </w:r>
    </w:p>
    <w:p>
      <w:pPr>
        <w:spacing w:line="440" w:lineRule="exact"/>
        <w:ind w:firstLine="200"/>
        <w:jc w:val="left"/>
        <w:rPr>
          <w:rFonts w:cs="Times New Roman" w:asciiTheme="minorEastAsia" w:hAnsiTheme="minorEastAsia"/>
          <w:sz w:val="24"/>
          <w:szCs w:val="24"/>
        </w:rPr>
      </w:pPr>
      <w:r>
        <w:rPr>
          <w:rFonts w:hint="eastAsia" w:cs="Times New Roman" w:asciiTheme="minorEastAsia" w:hAnsiTheme="minorEastAsia"/>
          <w:sz w:val="24"/>
          <w:szCs w:val="24"/>
        </w:rPr>
        <w:t xml:space="preserve">  下一步，宁波前湾综合保税区将聚焦“三大中心”建设，积极发挥区位交通和政策优势，精心规划物流分拨、检测维修、研发设计三大功能区域，加快跨境电商、数字经济、生物医药等新兴产业聚集，把政策优势转变为发展优势，更好服务长三角一体化的改革开放和经济发展。</w:t>
      </w:r>
    </w:p>
    <w:p>
      <w:pPr>
        <w:spacing w:line="440" w:lineRule="exact"/>
        <w:ind w:firstLine="200"/>
        <w:jc w:val="left"/>
        <w:rPr>
          <w:rFonts w:cs="Times New Roman" w:asciiTheme="minorEastAsia" w:hAnsiTheme="minorEastAsia"/>
          <w:sz w:val="24"/>
          <w:szCs w:val="24"/>
        </w:rPr>
      </w:pPr>
      <w:r>
        <w:rPr>
          <w:rFonts w:hint="eastAsia" w:cs="Times New Roman" w:asciiTheme="minorEastAsia" w:hAnsiTheme="minorEastAsia"/>
          <w:sz w:val="24"/>
          <w:szCs w:val="24"/>
        </w:rPr>
        <w:t xml:space="preserve">  为促进宁波前湾综合保税区建设，鼓励企业入区投资，支持企业做大做强，充分发挥综合保税区对新区经济发展的独特作用，新区还出台《关于宁波前湾综合保税区产业发展的若干意见》。</w:t>
      </w:r>
    </w:p>
    <w:p>
      <w:pPr>
        <w:spacing w:line="440" w:lineRule="exact"/>
        <w:ind w:firstLine="200"/>
        <w:jc w:val="left"/>
        <w:rPr>
          <w:rFonts w:cs="Times New Roman" w:asciiTheme="minorEastAsia" w:hAnsiTheme="minorEastAsia"/>
          <w:sz w:val="24"/>
          <w:szCs w:val="24"/>
        </w:rPr>
      </w:pPr>
      <w:r>
        <w:rPr>
          <w:rFonts w:hint="eastAsia" w:cs="Times New Roman" w:asciiTheme="minorEastAsia" w:hAnsiTheme="minorEastAsia"/>
          <w:sz w:val="24"/>
          <w:szCs w:val="24"/>
        </w:rPr>
        <w:t xml:space="preserve">  《意见》将优先发展进出口贸易；优先发展研发设计、检测维修业务；支持物流平台入驻，开展出口集拼、出口中转等业务；支持投资主体为世界500强企业、高新技术项目或具有高成长性、对综合保税区发展具有重大意义的行业龙头项目、注册资本1000万美元及以上的外资项目入驻；支持符合综保区发展方向的高产出制造业项目入驻。对进出口贸易项目，将根据企业的智能化设备及系统投资额、进出口额进行奖励；对于研发设计、检测维修项目，根据企业实际科研设备投资进行奖励；对于物流平台项目，给予运费等相关奖励。</w:t>
      </w:r>
    </w:p>
    <w:p>
      <w:pPr>
        <w:spacing w:line="440" w:lineRule="exact"/>
        <w:jc w:val="left"/>
        <w:rPr>
          <w:rFonts w:cs="Times New Roman" w:asciiTheme="minorEastAsia" w:hAnsiTheme="minorEastAsia"/>
          <w:sz w:val="24"/>
          <w:szCs w:val="24"/>
        </w:rPr>
      </w:pPr>
      <w:r>
        <w:rPr>
          <w:rFonts w:hint="eastAsia" w:cs="Times New Roman" w:asciiTheme="minorEastAsia" w:hAnsiTheme="minorEastAsia"/>
          <w:sz w:val="24"/>
          <w:szCs w:val="24"/>
        </w:rPr>
        <w:t>（宁波日报  12-30）</w:t>
      </w:r>
    </w:p>
    <w:p>
      <w:pPr>
        <w:spacing w:line="440" w:lineRule="exact"/>
        <w:jc w:val="left"/>
        <w:rPr>
          <w:rFonts w:cs="Times New Roman" w:asciiTheme="minorEastAsia" w:hAnsiTheme="minorEastAsia"/>
          <w:sz w:val="24"/>
          <w:szCs w:val="24"/>
        </w:rPr>
        <w:sectPr>
          <w:type w:val="continuous"/>
          <w:pgSz w:w="11906" w:h="16838"/>
          <w:pgMar w:top="1440" w:right="1800" w:bottom="1440" w:left="1800" w:header="851" w:footer="992" w:gutter="0"/>
          <w:cols w:space="425" w:num="2"/>
          <w:docGrid w:type="lines" w:linePitch="312" w:charSpace="0"/>
        </w:sectPr>
      </w:pPr>
    </w:p>
    <w:p>
      <w:pPr>
        <w:spacing w:line="440" w:lineRule="exact"/>
        <w:jc w:val="left"/>
        <w:rPr>
          <w:rFonts w:cs="Times New Roman" w:asciiTheme="minorEastAsia" w:hAnsiTheme="minorEastAsia"/>
          <w:sz w:val="24"/>
          <w:szCs w:val="24"/>
        </w:rPr>
      </w:pPr>
    </w:p>
    <w:p>
      <w:pPr>
        <w:spacing w:line="440" w:lineRule="exact"/>
        <w:jc w:val="left"/>
        <w:rPr>
          <w:rFonts w:cs="Times New Roman" w:asciiTheme="minorEastAsia" w:hAnsiTheme="minorEastAsia"/>
          <w:sz w:val="24"/>
          <w:szCs w:val="24"/>
        </w:rPr>
      </w:pPr>
    </w:p>
    <w:p>
      <w:pPr>
        <w:spacing w:line="440" w:lineRule="exact"/>
        <w:jc w:val="left"/>
        <w:rPr>
          <w:rFonts w:cs="Times New Roman" w:asciiTheme="minorEastAsia" w:hAnsiTheme="minorEastAsia"/>
          <w:sz w:val="24"/>
          <w:szCs w:val="24"/>
        </w:rPr>
      </w:pPr>
    </w:p>
    <w:p>
      <w:pPr>
        <w:spacing w:line="440" w:lineRule="exact"/>
        <w:ind w:firstLine="723" w:firstLineChars="200"/>
        <w:jc w:val="center"/>
        <w:rPr>
          <w:rFonts w:ascii="楷体_GB2312" w:eastAsia="楷体_GB2312" w:hAnsiTheme="minorEastAsia"/>
          <w:b/>
          <w:bCs/>
          <w:sz w:val="36"/>
          <w:szCs w:val="36"/>
        </w:rPr>
      </w:pPr>
      <w:r>
        <w:rPr>
          <w:rFonts w:hint="eastAsia" w:ascii="楷体_GB2312" w:eastAsia="楷体_GB2312" w:hAnsiTheme="minorEastAsia"/>
          <w:b/>
          <w:bCs/>
          <w:sz w:val="36"/>
          <w:szCs w:val="36"/>
        </w:rPr>
        <w:t xml:space="preserve">宁波海关优化空箱监管模式 </w:t>
      </w:r>
    </w:p>
    <w:p>
      <w:pPr>
        <w:spacing w:line="440" w:lineRule="exact"/>
        <w:ind w:firstLine="723" w:firstLineChars="200"/>
        <w:jc w:val="center"/>
        <w:rPr>
          <w:rFonts w:ascii="楷体_GB2312" w:eastAsia="楷体_GB2312" w:hAnsiTheme="minorEastAsia"/>
          <w:b/>
          <w:bCs/>
          <w:sz w:val="36"/>
          <w:szCs w:val="36"/>
        </w:rPr>
      </w:pPr>
      <w:r>
        <w:rPr>
          <w:rFonts w:hint="eastAsia" w:ascii="楷体_GB2312" w:eastAsia="楷体_GB2312" w:hAnsiTheme="minorEastAsia"/>
          <w:b/>
          <w:bCs/>
          <w:sz w:val="36"/>
          <w:szCs w:val="36"/>
        </w:rPr>
        <w:t>全力畅通全球供应链</w:t>
      </w:r>
    </w:p>
    <w:p>
      <w:pPr>
        <w:spacing w:line="440" w:lineRule="exact"/>
        <w:ind w:firstLine="480" w:firstLineChars="200"/>
        <w:jc w:val="left"/>
        <w:rPr>
          <w:rFonts w:asciiTheme="minorEastAsia" w:hAnsiTheme="minorEastAsia"/>
          <w:sz w:val="24"/>
          <w:szCs w:val="24"/>
        </w:rPr>
      </w:pPr>
    </w:p>
    <w:p>
      <w:pPr>
        <w:spacing w:line="440" w:lineRule="exact"/>
        <w:ind w:firstLine="480" w:firstLineChars="200"/>
        <w:jc w:val="left"/>
        <w:rPr>
          <w:rFonts w:cs="Times New Roman" w:asciiTheme="minorEastAsia" w:hAnsiTheme="minorEastAsia"/>
          <w:sz w:val="24"/>
          <w:szCs w:val="24"/>
        </w:rPr>
        <w:sectPr>
          <w:type w:val="continuous"/>
          <w:pgSz w:w="11906" w:h="16838"/>
          <w:pgMar w:top="1440" w:right="1800" w:bottom="1440" w:left="1800" w:header="851" w:footer="992" w:gutter="0"/>
          <w:cols w:space="425" w:num="1"/>
          <w:docGrid w:type="lines" w:linePitch="312" w:charSpace="0"/>
        </w:sectPr>
      </w:pPr>
    </w:p>
    <w:p>
      <w:pPr>
        <w:spacing w:line="440" w:lineRule="exact"/>
        <w:ind w:firstLine="480" w:firstLineChars="200"/>
        <w:jc w:val="left"/>
        <w:rPr>
          <w:rFonts w:cs="Times New Roman" w:asciiTheme="minorEastAsia" w:hAnsiTheme="minorEastAsia"/>
          <w:sz w:val="24"/>
          <w:szCs w:val="24"/>
        </w:rPr>
      </w:pPr>
      <w:r>
        <w:rPr>
          <w:rFonts w:hint="eastAsia" w:cs="Times New Roman" w:asciiTheme="minorEastAsia" w:hAnsiTheme="minorEastAsia"/>
          <w:sz w:val="24"/>
          <w:szCs w:val="24"/>
        </w:rPr>
        <w:t>受全球性新冠肺炎疫情的持续影响，国内外贸企业遭遇订单流失、物流受阻、资金压力等多方面困难，党中央高瞻远瞩，就提升产业链供应链稳定性和竞争力、共同维护国际产业链供应链安全稳定召开专题会议进行研究部署。</w:t>
      </w:r>
    </w:p>
    <w:p>
      <w:pPr>
        <w:spacing w:line="440" w:lineRule="exact"/>
        <w:ind w:firstLine="480" w:firstLineChars="200"/>
        <w:jc w:val="left"/>
        <w:rPr>
          <w:rFonts w:cs="Times New Roman" w:asciiTheme="minorEastAsia" w:hAnsiTheme="minorEastAsia"/>
          <w:sz w:val="24"/>
          <w:szCs w:val="24"/>
        </w:rPr>
      </w:pPr>
      <w:r>
        <w:rPr>
          <w:rFonts w:hint="eastAsia" w:cs="Times New Roman" w:asciiTheme="minorEastAsia" w:hAnsiTheme="minorEastAsia"/>
          <w:sz w:val="24"/>
          <w:szCs w:val="24"/>
        </w:rPr>
        <w:t>宁波海关积极贯彻落实习近平总书记在浙江、宁波考察时提出的“努力成为新时代全面展示中国特色社会主义制度优越性的重要窗口”和打造“一流强港”的殷切期盼，主动作为，多措并举，持续夯实支持企业防控疫情复工复产有关成果，出台《保障国际物流链畅通的十大举措》，强化关区协作，支持中欧班列，助推多式联运，优化空箱、拼箱监管，实施“五港”联动，充分发挥宁波舟山港“硬核”力量，有效化解新冠肺炎疫情对外向型经济及外贸企业带来的不利影响。</w:t>
      </w:r>
    </w:p>
    <w:p>
      <w:pPr>
        <w:spacing w:line="440" w:lineRule="exact"/>
        <w:ind w:firstLine="480" w:firstLineChars="200"/>
        <w:jc w:val="left"/>
        <w:rPr>
          <w:rFonts w:cs="Times New Roman" w:asciiTheme="minorEastAsia" w:hAnsiTheme="minorEastAsia"/>
          <w:sz w:val="24"/>
          <w:szCs w:val="24"/>
        </w:rPr>
      </w:pPr>
      <w:r>
        <w:rPr>
          <w:rFonts w:hint="eastAsia" w:cs="Times New Roman" w:asciiTheme="minorEastAsia" w:hAnsiTheme="minorEastAsia"/>
          <w:sz w:val="24"/>
          <w:szCs w:val="24"/>
        </w:rPr>
        <w:t>2020年下半年，国内外贸加速回暖并逆势上扬，宁波舟山港进出口外贸箱量持续保持高位，同比增幅从6月份的1.6%一路上涨至11月份的18.9%和12月份的15.4%。同期，与出口需求火爆形成巨大反差的，是全国各港口普遍出现的空箱箱源紧缺现象。究其原因，主要是国外疫情持续反复导致港口拥堵、船公司严重延误及国外拆空回空速度大幅下降，其中去年11月，跨太平洋航线准班率不足30%。</w:t>
      </w:r>
    </w:p>
    <w:p>
      <w:pPr>
        <w:spacing w:line="440" w:lineRule="exact"/>
        <w:ind w:firstLine="480" w:firstLineChars="200"/>
        <w:jc w:val="left"/>
        <w:rPr>
          <w:rFonts w:cs="Times New Roman" w:asciiTheme="minorEastAsia" w:hAnsiTheme="minorEastAsia"/>
          <w:sz w:val="24"/>
          <w:szCs w:val="24"/>
        </w:rPr>
      </w:pPr>
      <w:r>
        <w:rPr>
          <w:rFonts w:hint="eastAsia" w:cs="Times New Roman" w:asciiTheme="minorEastAsia" w:hAnsiTheme="minorEastAsia"/>
          <w:sz w:val="24"/>
          <w:szCs w:val="24"/>
        </w:rPr>
        <w:t>虽然宁波口岸已提前布局，积极谋划，但“一箱难求”的情况仍客观存在，2020年宁波口岸进口空箱309.84万自然箱，较2019年下降12.3%。随着春节日趋临近，国外疫情持续反弹，外贸出口仍会持续受到缺箱的影响。对此，地方政府高度重视，成立宁波港域集装箱空箱阶段性短缺问题整治工作专班，采取更加有力的措施，缓解用箱紧张局面，畅通国内国际双循环。</w:t>
      </w:r>
    </w:p>
    <w:p>
      <w:pPr>
        <w:spacing w:line="440" w:lineRule="exact"/>
        <w:ind w:firstLine="480" w:firstLineChars="200"/>
        <w:jc w:val="left"/>
        <w:rPr>
          <w:rFonts w:cs="Times New Roman" w:asciiTheme="minorEastAsia" w:hAnsiTheme="minorEastAsia"/>
          <w:sz w:val="24"/>
          <w:szCs w:val="24"/>
        </w:rPr>
      </w:pPr>
      <w:r>
        <w:rPr>
          <w:rFonts w:hint="eastAsia" w:cs="Times New Roman" w:asciiTheme="minorEastAsia" w:hAnsiTheme="minorEastAsia"/>
          <w:sz w:val="24"/>
          <w:szCs w:val="24"/>
        </w:rPr>
        <w:t>宁波海关则通过简化手续、优化监管模式、加快空箱运转效率、加强联系配合等多重手段，最大限度缓解了企业“用箱难”。目前，宁波口岸进口空箱从卸船理货核对完毕至海关放行的时间已经由2020年年初的24小时压缩至目前的6小时左右，空箱周转提速明显。</w:t>
      </w:r>
    </w:p>
    <w:p>
      <w:pPr>
        <w:spacing w:line="440" w:lineRule="exact"/>
        <w:ind w:firstLine="482" w:firstLineChars="200"/>
        <w:jc w:val="left"/>
        <w:rPr>
          <w:rFonts w:cs="Times New Roman" w:asciiTheme="minorEastAsia" w:hAnsiTheme="minorEastAsia"/>
          <w:b/>
          <w:bCs/>
          <w:sz w:val="24"/>
          <w:szCs w:val="24"/>
        </w:rPr>
      </w:pPr>
      <w:r>
        <w:rPr>
          <w:rFonts w:hint="eastAsia" w:cs="Times New Roman" w:asciiTheme="minorEastAsia" w:hAnsiTheme="minorEastAsia"/>
          <w:b/>
          <w:bCs/>
          <w:sz w:val="24"/>
          <w:szCs w:val="24"/>
        </w:rPr>
        <w:t>“深融合、理流程”</w:t>
      </w:r>
    </w:p>
    <w:p>
      <w:pPr>
        <w:spacing w:line="440" w:lineRule="exact"/>
        <w:ind w:firstLine="482" w:firstLineChars="200"/>
        <w:jc w:val="left"/>
        <w:rPr>
          <w:rFonts w:cs="Times New Roman" w:asciiTheme="minorEastAsia" w:hAnsiTheme="minorEastAsia"/>
          <w:b/>
          <w:bCs/>
          <w:sz w:val="24"/>
          <w:szCs w:val="24"/>
        </w:rPr>
      </w:pPr>
      <w:r>
        <w:rPr>
          <w:rFonts w:hint="eastAsia" w:cs="Times New Roman" w:asciiTheme="minorEastAsia" w:hAnsiTheme="minorEastAsia"/>
          <w:b/>
          <w:bCs/>
          <w:sz w:val="24"/>
          <w:szCs w:val="24"/>
        </w:rPr>
        <w:t>提升空箱监管效能</w:t>
      </w:r>
    </w:p>
    <w:p>
      <w:pPr>
        <w:spacing w:line="440" w:lineRule="exact"/>
        <w:ind w:firstLine="480" w:firstLineChars="200"/>
        <w:jc w:val="left"/>
        <w:rPr>
          <w:rFonts w:cs="Times New Roman" w:asciiTheme="minorEastAsia" w:hAnsiTheme="minorEastAsia"/>
          <w:sz w:val="24"/>
          <w:szCs w:val="24"/>
        </w:rPr>
      </w:pPr>
      <w:r>
        <w:rPr>
          <w:rFonts w:hint="eastAsia" w:cs="Times New Roman" w:asciiTheme="minorEastAsia" w:hAnsiTheme="minorEastAsia"/>
          <w:sz w:val="24"/>
          <w:szCs w:val="24"/>
        </w:rPr>
        <w:t>去年以来，宁波海关精准对接口岸实际需求，持续推进空箱监管一体化模式创新：</w:t>
      </w:r>
    </w:p>
    <w:p>
      <w:pPr>
        <w:spacing w:line="440" w:lineRule="exact"/>
        <w:ind w:firstLine="480" w:firstLineChars="200"/>
        <w:jc w:val="left"/>
        <w:rPr>
          <w:rFonts w:cs="Times New Roman" w:asciiTheme="minorEastAsia" w:hAnsiTheme="minorEastAsia"/>
          <w:sz w:val="24"/>
          <w:szCs w:val="24"/>
        </w:rPr>
      </w:pPr>
      <w:r>
        <w:rPr>
          <w:rFonts w:hint="eastAsia" w:cs="Times New Roman" w:asciiTheme="minorEastAsia" w:hAnsiTheme="minorEastAsia"/>
          <w:sz w:val="24"/>
          <w:szCs w:val="24"/>
        </w:rPr>
        <w:t>以业务融合为契机，强化“顺势监管”理念，科学梳理监管流程，深化风险管理理念，依托新一代空箱管理系统，实施一次申报、一次布控、一次查验和自动放行，实现严密监管和高效通关的有机统一；</w:t>
      </w:r>
    </w:p>
    <w:p>
      <w:pPr>
        <w:spacing w:line="440" w:lineRule="exact"/>
        <w:ind w:firstLine="480" w:firstLineChars="200"/>
        <w:jc w:val="left"/>
        <w:rPr>
          <w:rFonts w:cs="Times New Roman" w:asciiTheme="minorEastAsia" w:hAnsiTheme="minorEastAsia"/>
          <w:sz w:val="24"/>
          <w:szCs w:val="24"/>
        </w:rPr>
      </w:pPr>
      <w:r>
        <w:rPr>
          <w:rFonts w:hint="eastAsia" w:cs="Times New Roman" w:asciiTheme="minorEastAsia" w:hAnsiTheme="minorEastAsia"/>
          <w:sz w:val="24"/>
          <w:szCs w:val="24"/>
        </w:rPr>
        <w:t>以海关舱单信息为关键数据来源，进一步整合装货港、船公司、箱公司等各项风险参数，强化空箱管理数字化底账管理，大幅提升空箱申报、布控、卫生处理、查验、放行等各环节精细化作业水平；</w:t>
      </w:r>
    </w:p>
    <w:p>
      <w:pPr>
        <w:spacing w:line="440" w:lineRule="exact"/>
        <w:ind w:firstLine="480" w:firstLineChars="200"/>
        <w:jc w:val="left"/>
        <w:rPr>
          <w:rFonts w:cs="Times New Roman" w:asciiTheme="minorEastAsia" w:hAnsiTheme="minorEastAsia"/>
          <w:sz w:val="24"/>
          <w:szCs w:val="24"/>
        </w:rPr>
      </w:pPr>
      <w:r>
        <w:rPr>
          <w:rFonts w:hint="eastAsia" w:cs="Times New Roman" w:asciiTheme="minorEastAsia" w:hAnsiTheme="minorEastAsia"/>
          <w:sz w:val="24"/>
          <w:szCs w:val="24"/>
        </w:rPr>
        <w:t>依托企业-海关-码头全流程电子数据交互，全面实施空箱监管无纸化，对非布控查验的空箱，企业在线申报后可直接凭海关电子放行指令办理提箱手续，实现业务办理的“一次不用跑”；</w:t>
      </w:r>
    </w:p>
    <w:p>
      <w:pPr>
        <w:spacing w:line="440" w:lineRule="exact"/>
        <w:ind w:firstLine="480" w:firstLineChars="200"/>
        <w:jc w:val="left"/>
        <w:rPr>
          <w:rFonts w:cs="Times New Roman" w:asciiTheme="minorEastAsia" w:hAnsiTheme="minorEastAsia"/>
          <w:sz w:val="24"/>
          <w:szCs w:val="24"/>
        </w:rPr>
      </w:pPr>
      <w:r>
        <w:rPr>
          <w:rFonts w:hint="eastAsia" w:cs="Times New Roman" w:asciiTheme="minorEastAsia" w:hAnsiTheme="minorEastAsia"/>
          <w:sz w:val="24"/>
          <w:szCs w:val="24"/>
        </w:rPr>
        <w:t>整合查验流程，科学预设空箱布控参数，自动触发流转查验指令，同时增强海关查验人力配备，提升空箱查验作业效率。</w:t>
      </w:r>
    </w:p>
    <w:p>
      <w:pPr>
        <w:spacing w:line="440" w:lineRule="exact"/>
        <w:ind w:firstLine="482" w:firstLineChars="200"/>
        <w:jc w:val="left"/>
        <w:rPr>
          <w:rFonts w:cs="Times New Roman" w:asciiTheme="minorEastAsia" w:hAnsiTheme="minorEastAsia"/>
          <w:b/>
          <w:bCs/>
          <w:sz w:val="24"/>
          <w:szCs w:val="24"/>
        </w:rPr>
      </w:pPr>
      <w:r>
        <w:rPr>
          <w:rFonts w:hint="eastAsia" w:cs="Times New Roman" w:asciiTheme="minorEastAsia" w:hAnsiTheme="minorEastAsia"/>
          <w:b/>
          <w:bCs/>
          <w:sz w:val="24"/>
          <w:szCs w:val="24"/>
        </w:rPr>
        <w:t>“强科技、新手段”</w:t>
      </w:r>
    </w:p>
    <w:p>
      <w:pPr>
        <w:spacing w:line="440" w:lineRule="exact"/>
        <w:ind w:firstLine="482" w:firstLineChars="200"/>
        <w:jc w:val="left"/>
        <w:rPr>
          <w:rFonts w:cs="Times New Roman" w:asciiTheme="minorEastAsia" w:hAnsiTheme="minorEastAsia"/>
          <w:b/>
          <w:bCs/>
          <w:sz w:val="24"/>
          <w:szCs w:val="24"/>
        </w:rPr>
      </w:pPr>
      <w:r>
        <w:rPr>
          <w:rFonts w:hint="eastAsia" w:cs="Times New Roman" w:asciiTheme="minorEastAsia" w:hAnsiTheme="minorEastAsia"/>
          <w:b/>
          <w:bCs/>
          <w:sz w:val="24"/>
          <w:szCs w:val="24"/>
        </w:rPr>
        <w:t>提高空箱运转效率</w:t>
      </w:r>
    </w:p>
    <w:p>
      <w:pPr>
        <w:spacing w:line="440" w:lineRule="exact"/>
        <w:ind w:firstLine="480" w:firstLineChars="200"/>
        <w:jc w:val="left"/>
        <w:rPr>
          <w:rFonts w:cs="Times New Roman" w:asciiTheme="minorEastAsia" w:hAnsiTheme="minorEastAsia"/>
          <w:sz w:val="24"/>
          <w:szCs w:val="24"/>
        </w:rPr>
      </w:pPr>
      <w:r>
        <w:rPr>
          <w:rFonts w:hint="eastAsia" w:cs="Times New Roman" w:asciiTheme="minorEastAsia" w:hAnsiTheme="minorEastAsia"/>
          <w:sz w:val="24"/>
          <w:szCs w:val="24"/>
        </w:rPr>
        <w:t>近些年，宁波海关不懈探索，以科技理念和手段强化支撑和引领业务改革，在海关监管实践中发挥巨大作用。</w:t>
      </w:r>
    </w:p>
    <w:p>
      <w:pPr>
        <w:spacing w:line="440" w:lineRule="exact"/>
        <w:ind w:firstLine="480" w:firstLineChars="200"/>
        <w:jc w:val="left"/>
        <w:rPr>
          <w:rFonts w:cs="Times New Roman" w:asciiTheme="minorEastAsia" w:hAnsiTheme="minorEastAsia"/>
          <w:sz w:val="24"/>
          <w:szCs w:val="24"/>
        </w:rPr>
      </w:pPr>
      <w:r>
        <w:rPr>
          <w:rFonts w:hint="eastAsia" w:cs="Times New Roman" w:asciiTheme="minorEastAsia" w:hAnsiTheme="minorEastAsia"/>
          <w:sz w:val="24"/>
          <w:szCs w:val="24"/>
        </w:rPr>
        <w:t>对于空箱监管，宁波海关同样延续了“科学监管”理念，一方面依托日趋完善关港数据交互平台，在打造关港二合一的智能卡口的基础上，进一步将空箱称重比对等物联网技术设备与智能卡口融合叠加，配合物流监管业务改革，实现正常空箱“无感”过卡，大幅提高了空箱在港区内外的流转效率。</w:t>
      </w:r>
    </w:p>
    <w:p>
      <w:pPr>
        <w:spacing w:line="440" w:lineRule="exact"/>
        <w:ind w:firstLine="480" w:firstLineChars="200"/>
        <w:jc w:val="left"/>
        <w:rPr>
          <w:rFonts w:cs="Times New Roman" w:asciiTheme="minorEastAsia" w:hAnsiTheme="minorEastAsia"/>
          <w:sz w:val="24"/>
          <w:szCs w:val="24"/>
        </w:rPr>
      </w:pPr>
      <w:r>
        <w:rPr>
          <w:rFonts w:hint="eastAsia" w:cs="Times New Roman" w:asciiTheme="minorEastAsia" w:hAnsiTheme="minorEastAsia"/>
          <w:sz w:val="24"/>
          <w:szCs w:val="24"/>
        </w:rPr>
        <w:t>另一方面，针对需查验的空箱，宁波海关通过科学预设空箱布控参数，能够在第一时间将移箱指令传输至各码头，便于码头及时配合海关对空箱实施查验作业。</w:t>
      </w:r>
    </w:p>
    <w:p>
      <w:pPr>
        <w:spacing w:line="440" w:lineRule="exact"/>
        <w:ind w:firstLine="480" w:firstLineChars="200"/>
        <w:jc w:val="left"/>
        <w:rPr>
          <w:rFonts w:cs="Times New Roman" w:asciiTheme="minorEastAsia" w:hAnsiTheme="minorEastAsia"/>
          <w:sz w:val="24"/>
          <w:szCs w:val="24"/>
        </w:rPr>
      </w:pPr>
      <w:r>
        <w:rPr>
          <w:rFonts w:hint="eastAsia" w:cs="Times New Roman" w:asciiTheme="minorEastAsia" w:hAnsiTheme="minorEastAsia"/>
          <w:sz w:val="24"/>
          <w:szCs w:val="24"/>
        </w:rPr>
        <w:t>同时，推动“智慧监管”与智慧港口深度融合，加大监管装备应用力度，在现有卡口无感称重的基础上，通过增加空箱称重数据联网、优化空箱声呐检测设备应用等方式，做好进口空箱“最后一公里”监管工作，全方位、多角度提升空箱监管水平。</w:t>
      </w:r>
    </w:p>
    <w:p>
      <w:pPr>
        <w:spacing w:line="440" w:lineRule="exact"/>
        <w:ind w:firstLine="480" w:firstLineChars="200"/>
        <w:jc w:val="left"/>
        <w:rPr>
          <w:rFonts w:cs="Times New Roman" w:asciiTheme="minorEastAsia" w:hAnsiTheme="minorEastAsia"/>
          <w:sz w:val="24"/>
          <w:szCs w:val="24"/>
        </w:rPr>
      </w:pPr>
      <w:r>
        <w:rPr>
          <w:rFonts w:hint="eastAsia" w:cs="Times New Roman" w:asciiTheme="minorEastAsia" w:hAnsiTheme="minorEastAsia"/>
          <w:sz w:val="24"/>
          <w:szCs w:val="24"/>
        </w:rPr>
        <w:t>下阶段，海关还将依托5G、物联网等新技术应用，深化硬件共享和数据联动，持续完善“智慧物流”监管体系，进一步释放港口功能潜力。</w:t>
      </w:r>
    </w:p>
    <w:p>
      <w:pPr>
        <w:spacing w:line="440" w:lineRule="exact"/>
        <w:ind w:firstLine="482" w:firstLineChars="200"/>
        <w:jc w:val="left"/>
        <w:rPr>
          <w:rFonts w:cs="Times New Roman" w:asciiTheme="minorEastAsia" w:hAnsiTheme="minorEastAsia"/>
          <w:b/>
          <w:bCs/>
          <w:sz w:val="24"/>
          <w:szCs w:val="24"/>
        </w:rPr>
      </w:pPr>
      <w:r>
        <w:rPr>
          <w:rFonts w:hint="eastAsia" w:cs="Times New Roman" w:asciiTheme="minorEastAsia" w:hAnsiTheme="minorEastAsia"/>
          <w:b/>
          <w:bCs/>
          <w:sz w:val="24"/>
          <w:szCs w:val="24"/>
        </w:rPr>
        <w:t>“强服务，齐用力”</w:t>
      </w:r>
    </w:p>
    <w:p>
      <w:pPr>
        <w:spacing w:line="440" w:lineRule="exact"/>
        <w:ind w:firstLine="482" w:firstLineChars="200"/>
        <w:jc w:val="left"/>
        <w:rPr>
          <w:rFonts w:cs="Times New Roman" w:asciiTheme="minorEastAsia" w:hAnsiTheme="minorEastAsia"/>
          <w:b/>
          <w:bCs/>
          <w:sz w:val="24"/>
          <w:szCs w:val="24"/>
        </w:rPr>
      </w:pPr>
      <w:r>
        <w:rPr>
          <w:rFonts w:hint="eastAsia" w:cs="Times New Roman" w:asciiTheme="minorEastAsia" w:hAnsiTheme="minorEastAsia"/>
          <w:b/>
          <w:bCs/>
          <w:sz w:val="24"/>
          <w:szCs w:val="24"/>
        </w:rPr>
        <w:t>全力保障国际物流供应链</w:t>
      </w:r>
    </w:p>
    <w:p>
      <w:pPr>
        <w:spacing w:line="440" w:lineRule="exact"/>
        <w:ind w:firstLine="480" w:firstLineChars="200"/>
        <w:jc w:val="left"/>
        <w:rPr>
          <w:rFonts w:cs="Times New Roman" w:asciiTheme="minorEastAsia" w:hAnsiTheme="minorEastAsia"/>
          <w:sz w:val="24"/>
          <w:szCs w:val="24"/>
        </w:rPr>
      </w:pPr>
      <w:r>
        <w:rPr>
          <w:rFonts w:hint="eastAsia" w:cs="Times New Roman" w:asciiTheme="minorEastAsia" w:hAnsiTheme="minorEastAsia"/>
          <w:sz w:val="24"/>
          <w:szCs w:val="24"/>
        </w:rPr>
        <w:t>面对当前国际物流供应链的现状，有效利用空箱资源在国内国际大循环中的作用大幅显现，成为宁波舟山港更好发挥“硬核”力量的重要标志。</w:t>
      </w:r>
    </w:p>
    <w:p>
      <w:pPr>
        <w:spacing w:line="440" w:lineRule="exact"/>
        <w:ind w:firstLine="480" w:firstLineChars="200"/>
        <w:jc w:val="left"/>
        <w:rPr>
          <w:rFonts w:cs="Times New Roman" w:asciiTheme="minorEastAsia" w:hAnsiTheme="minorEastAsia"/>
          <w:sz w:val="24"/>
          <w:szCs w:val="24"/>
        </w:rPr>
      </w:pPr>
      <w:r>
        <w:rPr>
          <w:rFonts w:hint="eastAsia" w:cs="Times New Roman" w:asciiTheme="minorEastAsia" w:hAnsiTheme="minorEastAsia"/>
          <w:sz w:val="24"/>
          <w:szCs w:val="24"/>
        </w:rPr>
        <w:t>作为国家口岸监管部门，宁波海关一直秉持着“协同共治”理念，主动对接港务部门和有关船公司，积极沟通协调解决客观困难，并参与宁波港域集装箱空箱阶段性短缺问题专项整治工作。</w:t>
      </w:r>
    </w:p>
    <w:p>
      <w:pPr>
        <w:spacing w:line="440" w:lineRule="exact"/>
        <w:ind w:firstLine="480" w:firstLineChars="200"/>
        <w:jc w:val="left"/>
        <w:rPr>
          <w:rFonts w:cs="Times New Roman" w:asciiTheme="minorEastAsia" w:hAnsiTheme="minorEastAsia"/>
          <w:sz w:val="24"/>
          <w:szCs w:val="24"/>
        </w:rPr>
      </w:pPr>
      <w:r>
        <w:rPr>
          <w:rFonts w:hint="eastAsia" w:cs="Times New Roman" w:asciiTheme="minorEastAsia" w:hAnsiTheme="minorEastAsia"/>
          <w:sz w:val="24"/>
          <w:szCs w:val="24"/>
        </w:rPr>
        <w:t>面对当前及今后一段时间内集装箱供不应求的紧张局势，海关依托进出口监管职能，针对国际运价调整、航线运力变化、进出口贸易等情况，加强对国际航运与贸易变化的监测，及时向海关总署和地方相关部门提出政策建议，多管齐下，合力破解瓶颈，助推港航物流高层次发展，完善港口集疏运体系。</w:t>
      </w:r>
    </w:p>
    <w:p>
      <w:pPr>
        <w:spacing w:line="440" w:lineRule="exact"/>
        <w:ind w:firstLine="480" w:firstLineChars="200"/>
        <w:jc w:val="left"/>
        <w:rPr>
          <w:rFonts w:cs="Times New Roman" w:asciiTheme="minorEastAsia" w:hAnsiTheme="minorEastAsia"/>
          <w:sz w:val="24"/>
          <w:szCs w:val="24"/>
        </w:rPr>
      </w:pPr>
      <w:r>
        <w:rPr>
          <w:rFonts w:hint="eastAsia" w:cs="Times New Roman" w:asciiTheme="minorEastAsia" w:hAnsiTheme="minorEastAsia"/>
          <w:sz w:val="24"/>
          <w:szCs w:val="24"/>
        </w:rPr>
        <w:t>空箱箱源紧缺问题引起了企业社会的高度重视，相信在省市两级政府的统一部署下，该问题将得到有效缓解。海关将发挥其应有的作用，助推国际供应链势畅通无阻。</w:t>
      </w:r>
    </w:p>
    <w:p>
      <w:pPr>
        <w:spacing w:line="440" w:lineRule="exact"/>
        <w:jc w:val="left"/>
        <w:rPr>
          <w:rFonts w:cs="Times New Roman" w:asciiTheme="minorEastAsia" w:hAnsiTheme="minorEastAsia"/>
          <w:sz w:val="24"/>
          <w:szCs w:val="24"/>
        </w:rPr>
      </w:pPr>
      <w:r>
        <w:rPr>
          <w:rFonts w:hint="eastAsia" w:cs="Times New Roman" w:asciiTheme="minorEastAsia" w:hAnsiTheme="minorEastAsia"/>
          <w:sz w:val="24"/>
          <w:szCs w:val="24"/>
        </w:rPr>
        <w:t>（宁波日报  01-07）</w:t>
      </w:r>
    </w:p>
    <w:p>
      <w:pPr>
        <w:spacing w:line="440" w:lineRule="exact"/>
        <w:jc w:val="left"/>
        <w:rPr>
          <w:rFonts w:cs="Times New Roman" w:asciiTheme="minorEastAsia" w:hAnsiTheme="minorEastAsia"/>
          <w:sz w:val="24"/>
          <w:szCs w:val="24"/>
        </w:rPr>
        <w:sectPr>
          <w:type w:val="continuous"/>
          <w:pgSz w:w="11906" w:h="16838"/>
          <w:pgMar w:top="1440" w:right="1800" w:bottom="1440" w:left="1800" w:header="851" w:footer="992" w:gutter="0"/>
          <w:cols w:space="425" w:num="2"/>
          <w:docGrid w:type="lines" w:linePitch="312" w:charSpace="0"/>
        </w:sectPr>
      </w:pPr>
    </w:p>
    <w:p>
      <w:pPr>
        <w:spacing w:line="440" w:lineRule="exact"/>
        <w:jc w:val="left"/>
        <w:rPr>
          <w:rFonts w:cs="Times New Roman" w:asciiTheme="minorEastAsia" w:hAnsiTheme="minorEastAsia"/>
          <w:sz w:val="24"/>
          <w:szCs w:val="24"/>
        </w:rPr>
      </w:pPr>
    </w:p>
    <w:p>
      <w:pPr>
        <w:spacing w:line="440" w:lineRule="exact"/>
        <w:jc w:val="left"/>
        <w:rPr>
          <w:rFonts w:cs="Times New Roman" w:asciiTheme="minorEastAsia" w:hAnsiTheme="minorEastAsia"/>
          <w:sz w:val="24"/>
          <w:szCs w:val="24"/>
        </w:rPr>
      </w:pPr>
    </w:p>
    <w:p>
      <w:pPr>
        <w:spacing w:line="440" w:lineRule="exact"/>
        <w:jc w:val="left"/>
        <w:rPr>
          <w:rFonts w:ascii="楷体_GB2312" w:eastAsia="楷体_GB2312" w:cs="Times New Roman" w:hAnsiTheme="minorEastAsia"/>
          <w:sz w:val="36"/>
          <w:szCs w:val="36"/>
        </w:rPr>
      </w:pPr>
    </w:p>
    <w:p>
      <w:pPr>
        <w:spacing w:line="440" w:lineRule="exact"/>
        <w:jc w:val="center"/>
        <w:rPr>
          <w:rFonts w:ascii="楷体_GB2312" w:eastAsia="楷体_GB2312" w:cs="Times New Roman" w:hAnsiTheme="minorEastAsia"/>
          <w:b/>
          <w:bCs/>
          <w:sz w:val="36"/>
          <w:szCs w:val="36"/>
        </w:rPr>
      </w:pPr>
      <w:r>
        <w:rPr>
          <w:rFonts w:hint="eastAsia" w:ascii="楷体_GB2312" w:eastAsia="楷体_GB2312" w:cs="Times New Roman" w:hAnsiTheme="minorEastAsia"/>
          <w:b/>
          <w:bCs/>
          <w:sz w:val="36"/>
          <w:szCs w:val="36"/>
        </w:rPr>
        <w:t>宁波国家级外贸转型升级基地扩容</w:t>
      </w:r>
    </w:p>
    <w:p>
      <w:pPr>
        <w:spacing w:line="440" w:lineRule="exact"/>
        <w:jc w:val="center"/>
        <w:rPr>
          <w:rFonts w:cs="Times New Roman" w:asciiTheme="minorEastAsia" w:hAnsiTheme="minorEastAsia"/>
          <w:sz w:val="24"/>
          <w:szCs w:val="24"/>
        </w:rPr>
      </w:pPr>
      <w:r>
        <w:rPr>
          <w:rFonts w:hint="eastAsia" w:ascii="华文细黑" w:hAnsi="华文细黑" w:eastAsia="华文细黑" w:cs="Times New Roman"/>
          <w:sz w:val="28"/>
          <w:szCs w:val="28"/>
        </w:rPr>
        <w:t>总数达15家，继续领跑全省</w:t>
      </w:r>
      <w:r>
        <w:rPr>
          <w:rFonts w:hint="eastAsia" w:cs="Times New Roman" w:asciiTheme="minorEastAsia" w:hAnsiTheme="minorEastAsia"/>
          <w:sz w:val="24"/>
          <w:szCs w:val="24"/>
        </w:rPr>
        <w:t xml:space="preserve"> </w:t>
      </w:r>
    </w:p>
    <w:p>
      <w:pPr>
        <w:spacing w:line="440" w:lineRule="exact"/>
        <w:jc w:val="left"/>
        <w:rPr>
          <w:rFonts w:cs="Times New Roman" w:asciiTheme="minorEastAsia" w:hAnsiTheme="minorEastAsia"/>
          <w:sz w:val="24"/>
          <w:szCs w:val="24"/>
        </w:rPr>
      </w:pPr>
    </w:p>
    <w:p>
      <w:pPr>
        <w:spacing w:line="440" w:lineRule="exact"/>
        <w:jc w:val="left"/>
        <w:rPr>
          <w:rFonts w:ascii="华文细黑" w:hAnsi="华文细黑" w:eastAsia="华文细黑" w:cs="Times New Roman"/>
          <w:sz w:val="28"/>
          <w:szCs w:val="28"/>
        </w:rPr>
        <w:sectPr>
          <w:type w:val="continuous"/>
          <w:pgSz w:w="11906" w:h="16838"/>
          <w:pgMar w:top="1440" w:right="1800" w:bottom="1440" w:left="1800" w:header="851" w:footer="992" w:gutter="0"/>
          <w:cols w:space="425" w:num="1"/>
          <w:docGrid w:type="lines" w:linePitch="312" w:charSpace="0"/>
        </w:sectPr>
      </w:pPr>
    </w:p>
    <w:p>
      <w:pPr>
        <w:spacing w:line="440" w:lineRule="exact"/>
        <w:ind w:firstLine="480" w:firstLineChars="200"/>
        <w:jc w:val="left"/>
        <w:rPr>
          <w:rFonts w:cs="Times New Roman" w:asciiTheme="minorEastAsia" w:hAnsiTheme="minorEastAsia"/>
          <w:sz w:val="24"/>
          <w:szCs w:val="24"/>
        </w:rPr>
      </w:pPr>
      <w:r>
        <w:rPr>
          <w:rFonts w:hint="eastAsia" w:cs="Times New Roman" w:asciiTheme="minorEastAsia" w:hAnsiTheme="minorEastAsia"/>
          <w:sz w:val="24"/>
          <w:szCs w:val="24"/>
        </w:rPr>
        <w:t>国家级示范基地已经成为宁波外贸转型升级、引领高质量发展的标杆。近日，商务部公示了国家外贸转型升级基地名单，余姚市国家外贸转型升级基地（家用电器）及北仑区国家外贸转型升级基地（塑料机械及模具）榜上有名。同时，原宁波市北仑新区国家外贸转型升级基地（电子信息）成功通过考核，被认定为宁波市北仑区国家外贸转型升级基地（电子信息）。</w:t>
      </w:r>
    </w:p>
    <w:p>
      <w:pPr>
        <w:spacing w:line="440" w:lineRule="exact"/>
        <w:jc w:val="left"/>
        <w:rPr>
          <w:rFonts w:cs="Times New Roman" w:asciiTheme="minorEastAsia" w:hAnsiTheme="minorEastAsia"/>
          <w:sz w:val="24"/>
          <w:szCs w:val="24"/>
        </w:rPr>
      </w:pPr>
      <w:r>
        <w:rPr>
          <w:rFonts w:hint="eastAsia" w:cs="Times New Roman" w:asciiTheme="minorEastAsia" w:hAnsiTheme="minorEastAsia"/>
          <w:sz w:val="24"/>
          <w:szCs w:val="24"/>
        </w:rPr>
        <w:t xml:space="preserve">    至此，宁波国家级外贸转型升级基地达到15家，占全省的四分之一，在数量上继续领跑。国家外贸转型升级基地是国家和地方重点扶持和发展的集生产和出口功能于一体的产业集聚体，是培育信息、营销、品牌、质量、技术、标准、服务等出口竞争新优势的重要载体，同时也是实现出口稳定、协调发展的重要推动力量。</w:t>
      </w:r>
    </w:p>
    <w:p>
      <w:pPr>
        <w:spacing w:line="440" w:lineRule="exact"/>
        <w:jc w:val="left"/>
        <w:rPr>
          <w:rFonts w:cs="Times New Roman" w:asciiTheme="minorEastAsia" w:hAnsiTheme="minorEastAsia"/>
          <w:sz w:val="24"/>
          <w:szCs w:val="24"/>
        </w:rPr>
      </w:pPr>
      <w:r>
        <w:rPr>
          <w:rFonts w:hint="eastAsia" w:cs="Times New Roman" w:asciiTheme="minorEastAsia" w:hAnsiTheme="minorEastAsia"/>
          <w:sz w:val="24"/>
          <w:szCs w:val="24"/>
        </w:rPr>
        <w:t xml:space="preserve">    得益于产业经济的块状化和集群发展，多年来，宁波外贸出口形成了服装、纺织、文具、餐厨用品、五金制品等一大批商品基地，以节能注塑机为代表的百余种产品跻身全国出口“单打冠军”。于无声处听惊雷，在细分产业做文章。在出口规模不断攀升的同时，宁波积极鼓励外贸企业在设计、研发、营销等领域加快转型升级步伐，推动基地外贸发展方式转变。</w:t>
      </w:r>
    </w:p>
    <w:p>
      <w:pPr>
        <w:spacing w:line="440" w:lineRule="exact"/>
        <w:jc w:val="left"/>
        <w:rPr>
          <w:rFonts w:cs="Times New Roman" w:asciiTheme="minorEastAsia" w:hAnsiTheme="minorEastAsia"/>
          <w:sz w:val="24"/>
          <w:szCs w:val="24"/>
        </w:rPr>
      </w:pPr>
      <w:r>
        <w:rPr>
          <w:rFonts w:hint="eastAsia" w:cs="Times New Roman" w:asciiTheme="minorEastAsia" w:hAnsiTheme="minorEastAsia"/>
          <w:sz w:val="24"/>
          <w:szCs w:val="24"/>
        </w:rPr>
        <w:t xml:space="preserve">    产业集群，助推出口基地转型升级。此次成功摘得“国字号”招牌的余姚市国家外贸转型升级基地（家用电器），拥有德昌、富佳、好伙伴、帅康电器等一大批知名品牌。经过40多年的创新发展，余姚家电产业呈现出产业配套齐全、产品种类多样、区域集聚度高、国际竞争力强的特点，形成了品牌家电整机生产、特色小家电产品制造、家电零配件及模具生产三位一体的特色产业体系，家电制造业、家电展会经济和跨境电商产业协调发展。目前已与160多个国家和地区有贸易往来，并在130多个国家和地区注册了出口产品商标。</w:t>
      </w:r>
    </w:p>
    <w:p>
      <w:pPr>
        <w:spacing w:line="440" w:lineRule="exact"/>
        <w:jc w:val="left"/>
        <w:rPr>
          <w:rFonts w:cs="Times New Roman" w:asciiTheme="minorEastAsia" w:hAnsiTheme="minorEastAsia"/>
          <w:sz w:val="24"/>
          <w:szCs w:val="24"/>
        </w:rPr>
      </w:pPr>
      <w:r>
        <w:rPr>
          <w:rFonts w:hint="eastAsia" w:cs="Times New Roman" w:asciiTheme="minorEastAsia" w:hAnsiTheme="minorEastAsia"/>
          <w:sz w:val="24"/>
          <w:szCs w:val="24"/>
        </w:rPr>
        <w:t xml:space="preserve">    自我革新，方能激发内生动力。本次新认定的塑料机械及模具产业是北仑区六大优势产业之一。在创建期间，北仑区充分发挥市场优势，着力打造塑机、模具、汽车零部件产业协同发展模式，形成了配套健全、创新能力强的产业生态圈，提升智能制造水平，进一步推动区内产业转型发展。</w:t>
      </w:r>
    </w:p>
    <w:p>
      <w:pPr>
        <w:spacing w:line="440" w:lineRule="exact"/>
        <w:ind w:firstLine="465"/>
        <w:jc w:val="left"/>
        <w:rPr>
          <w:rFonts w:cs="Times New Roman" w:asciiTheme="minorEastAsia" w:hAnsiTheme="minorEastAsia"/>
          <w:sz w:val="24"/>
          <w:szCs w:val="24"/>
        </w:rPr>
      </w:pPr>
      <w:r>
        <w:rPr>
          <w:rFonts w:hint="eastAsia" w:cs="Times New Roman" w:asciiTheme="minorEastAsia" w:hAnsiTheme="minorEastAsia"/>
          <w:sz w:val="24"/>
          <w:szCs w:val="24"/>
        </w:rPr>
        <w:t>“国家外贸转型升级基地认定是宁波加快转变外贸发展方式，提升外贸发展质量和水平的重要手段。”宁波市商务局相关负责人表示，下一步，宁波将进一步引导各地结合实际制定基地工作规划和相关政策，总结经验、大胆创新，不断培育外贸竞争新优势，更好发挥基地的示范带动作用。</w:t>
      </w:r>
    </w:p>
    <w:p>
      <w:pPr>
        <w:spacing w:line="440" w:lineRule="exact"/>
        <w:jc w:val="left"/>
        <w:rPr>
          <w:rFonts w:cs="Times New Roman" w:asciiTheme="minorEastAsia" w:hAnsiTheme="minorEastAsia"/>
          <w:sz w:val="24"/>
          <w:szCs w:val="24"/>
        </w:rPr>
      </w:pPr>
      <w:r>
        <w:rPr>
          <w:rFonts w:hint="eastAsia" w:cs="Times New Roman" w:asciiTheme="minorEastAsia" w:hAnsiTheme="minorEastAsia"/>
          <w:sz w:val="24"/>
          <w:szCs w:val="24"/>
        </w:rPr>
        <w:t>（宁波日报 01-08）</w:t>
      </w:r>
    </w:p>
    <w:p>
      <w:pPr>
        <w:spacing w:line="440" w:lineRule="exact"/>
        <w:jc w:val="left"/>
        <w:rPr>
          <w:rFonts w:cs="Times New Roman" w:asciiTheme="minorEastAsia" w:hAnsiTheme="minorEastAsia"/>
          <w:sz w:val="24"/>
          <w:szCs w:val="24"/>
        </w:rPr>
        <w:sectPr>
          <w:type w:val="continuous"/>
          <w:pgSz w:w="11906" w:h="16838"/>
          <w:pgMar w:top="1440" w:right="1800" w:bottom="1440" w:left="1800" w:header="851" w:footer="992" w:gutter="0"/>
          <w:cols w:space="425" w:num="2"/>
          <w:docGrid w:type="lines" w:linePitch="312" w:charSpace="0"/>
        </w:sectPr>
      </w:pPr>
    </w:p>
    <w:p>
      <w:pPr>
        <w:spacing w:line="440" w:lineRule="exact"/>
        <w:jc w:val="left"/>
        <w:rPr>
          <w:rFonts w:cs="Times New Roman" w:asciiTheme="minorEastAsia" w:hAnsiTheme="minorEastAsia"/>
          <w:sz w:val="24"/>
          <w:szCs w:val="24"/>
        </w:rPr>
      </w:pPr>
    </w:p>
    <w:p>
      <w:pPr>
        <w:spacing w:line="440" w:lineRule="exact"/>
        <w:jc w:val="left"/>
        <w:rPr>
          <w:rFonts w:cs="Times New Roman" w:asciiTheme="minorEastAsia" w:hAnsiTheme="minorEastAsia"/>
          <w:sz w:val="24"/>
          <w:szCs w:val="24"/>
        </w:rPr>
      </w:pPr>
    </w:p>
    <w:p>
      <w:pPr>
        <w:spacing w:line="440" w:lineRule="exact"/>
        <w:jc w:val="left"/>
        <w:rPr>
          <w:rFonts w:cs="Times New Roman" w:asciiTheme="minorEastAsia" w:hAnsiTheme="minorEastAsia"/>
          <w:sz w:val="24"/>
          <w:szCs w:val="24"/>
        </w:rPr>
      </w:pPr>
    </w:p>
    <w:p>
      <w:pPr>
        <w:spacing w:line="440" w:lineRule="exact"/>
        <w:jc w:val="left"/>
        <w:rPr>
          <w:rFonts w:cs="Times New Roman" w:asciiTheme="minorEastAsia" w:hAnsiTheme="minorEastAsia"/>
          <w:sz w:val="24"/>
          <w:szCs w:val="24"/>
        </w:rPr>
      </w:pPr>
    </w:p>
    <w:p>
      <w:pPr>
        <w:spacing w:line="440" w:lineRule="exact"/>
        <w:jc w:val="left"/>
        <w:rPr>
          <w:rFonts w:cs="Times New Roman" w:asciiTheme="minorEastAsia" w:hAnsiTheme="minorEastAsia"/>
          <w:sz w:val="24"/>
          <w:szCs w:val="24"/>
        </w:rPr>
      </w:pPr>
    </w:p>
    <w:p>
      <w:pPr>
        <w:spacing w:line="440" w:lineRule="exact"/>
        <w:jc w:val="left"/>
        <w:rPr>
          <w:rFonts w:cs="Times New Roman" w:asciiTheme="minorEastAsia" w:hAnsiTheme="minorEastAsia"/>
          <w:sz w:val="24"/>
          <w:szCs w:val="24"/>
        </w:rPr>
      </w:pPr>
    </w:p>
    <w:p>
      <w:pPr>
        <w:spacing w:line="440" w:lineRule="exact"/>
        <w:jc w:val="left"/>
        <w:rPr>
          <w:rFonts w:cs="Times New Roman" w:asciiTheme="minorEastAsia" w:hAnsiTheme="minorEastAsia"/>
          <w:sz w:val="24"/>
          <w:szCs w:val="24"/>
        </w:rPr>
      </w:pPr>
    </w:p>
    <w:p>
      <w:pPr>
        <w:spacing w:line="440" w:lineRule="exact"/>
        <w:jc w:val="left"/>
        <w:rPr>
          <w:rFonts w:cs="Times New Roman" w:asciiTheme="minorEastAsia" w:hAnsiTheme="minorEastAsia"/>
          <w:sz w:val="24"/>
          <w:szCs w:val="24"/>
        </w:rPr>
      </w:pPr>
    </w:p>
    <w:p>
      <w:pPr>
        <w:spacing w:line="440" w:lineRule="exact"/>
        <w:jc w:val="left"/>
        <w:rPr>
          <w:rFonts w:cs="Times New Roman" w:asciiTheme="minorEastAsia" w:hAnsiTheme="minorEastAsia"/>
          <w:sz w:val="24"/>
          <w:szCs w:val="24"/>
        </w:rPr>
      </w:pPr>
    </w:p>
    <w:p>
      <w:pPr>
        <w:spacing w:line="440" w:lineRule="exact"/>
        <w:jc w:val="left"/>
        <w:rPr>
          <w:rFonts w:cs="Times New Roman" w:asciiTheme="minorEastAsia" w:hAnsiTheme="minorEastAsia"/>
          <w:sz w:val="24"/>
          <w:szCs w:val="24"/>
        </w:rPr>
      </w:pPr>
    </w:p>
    <w:p>
      <w:pPr>
        <w:spacing w:line="440" w:lineRule="exact"/>
        <w:jc w:val="left"/>
        <w:rPr>
          <w:rFonts w:cs="Times New Roman" w:asciiTheme="minorEastAsia" w:hAnsiTheme="minorEastAsia"/>
          <w:sz w:val="24"/>
          <w:szCs w:val="24"/>
        </w:rPr>
      </w:pPr>
    </w:p>
    <w:p>
      <w:pPr>
        <w:spacing w:line="440" w:lineRule="exact"/>
        <w:jc w:val="left"/>
        <w:rPr>
          <w:rFonts w:cs="Times New Roman" w:asciiTheme="minorEastAsia" w:hAnsiTheme="minorEastAsia"/>
          <w:sz w:val="24"/>
          <w:szCs w:val="24"/>
        </w:rPr>
      </w:pPr>
    </w:p>
    <w:p>
      <w:pPr>
        <w:spacing w:line="440" w:lineRule="exact"/>
        <w:jc w:val="left"/>
        <w:rPr>
          <w:rFonts w:cs="Times New Roman" w:asciiTheme="minorEastAsia" w:hAnsiTheme="minorEastAsia"/>
          <w:sz w:val="24"/>
          <w:szCs w:val="24"/>
        </w:rPr>
      </w:pPr>
    </w:p>
    <w:p>
      <w:pPr>
        <w:spacing w:line="440" w:lineRule="exact"/>
        <w:jc w:val="left"/>
        <w:rPr>
          <w:rFonts w:cs="Times New Roman" w:asciiTheme="minorEastAsia" w:hAnsiTheme="minorEastAsia"/>
          <w:sz w:val="24"/>
          <w:szCs w:val="24"/>
        </w:rPr>
      </w:pPr>
    </w:p>
    <w:p>
      <w:pPr>
        <w:spacing w:line="440" w:lineRule="exact"/>
        <w:jc w:val="left"/>
        <w:rPr>
          <w:rFonts w:cs="Times New Roman" w:asciiTheme="minorEastAsia" w:hAnsiTheme="minorEastAsia"/>
          <w:sz w:val="24"/>
          <w:szCs w:val="24"/>
        </w:rPr>
      </w:pPr>
    </w:p>
    <w:p>
      <w:pPr>
        <w:spacing w:line="440" w:lineRule="exact"/>
        <w:jc w:val="left"/>
        <w:rPr>
          <w:rFonts w:hint="eastAsia" w:ascii="华文彩云" w:hAnsi="宋体" w:eastAsia="华文彩云"/>
          <w:sz w:val="36"/>
          <w:szCs w:val="36"/>
        </w:rPr>
      </w:pPr>
    </w:p>
    <w:p>
      <w:pPr>
        <w:spacing w:line="440" w:lineRule="exact"/>
        <w:jc w:val="left"/>
        <w:rPr>
          <w:rFonts w:ascii="华文彩云" w:hAnsi="宋体" w:eastAsia="华文彩云"/>
          <w:b/>
          <w:sz w:val="36"/>
          <w:szCs w:val="36"/>
        </w:rPr>
      </w:pPr>
      <w:r>
        <w:rPr>
          <w:rFonts w:hint="eastAsia" w:ascii="华文彩云" w:hAnsi="宋体" w:eastAsia="华文彩云"/>
          <w:sz w:val="36"/>
          <w:szCs w:val="36"/>
        </w:rPr>
        <w:t>◎</w:t>
      </w:r>
      <w:r>
        <w:rPr>
          <w:rFonts w:hint="eastAsia" w:ascii="华文彩云" w:hAnsi="宋体" w:eastAsia="华文彩云"/>
          <w:b/>
          <w:sz w:val="36"/>
          <w:szCs w:val="36"/>
        </w:rPr>
        <w:t>协会活动</w:t>
      </w:r>
    </w:p>
    <w:p>
      <w:pPr>
        <w:spacing w:line="440" w:lineRule="exact"/>
        <w:jc w:val="left"/>
        <w:rPr>
          <w:rFonts w:ascii="华文彩云" w:hAnsi="宋体" w:eastAsia="华文彩云"/>
          <w:sz w:val="36"/>
          <w:szCs w:val="36"/>
        </w:rPr>
      </w:pPr>
    </w:p>
    <w:p>
      <w:pPr>
        <w:keepNext w:val="0"/>
        <w:keepLines w:val="0"/>
        <w:pageBreakBefore w:val="0"/>
        <w:kinsoku/>
        <w:wordWrap/>
        <w:overflowPunct/>
        <w:topLinePunct w:val="0"/>
        <w:autoSpaceDE/>
        <w:autoSpaceDN/>
        <w:bidi w:val="0"/>
        <w:adjustRightInd/>
        <w:snapToGrid/>
        <w:spacing w:line="420" w:lineRule="exact"/>
        <w:jc w:val="left"/>
        <w:textAlignment w:val="auto"/>
        <w:rPr>
          <w:rFonts w:ascii="华文彩云" w:hAnsi="宋体" w:eastAsia="华文彩云"/>
          <w:b/>
          <w:bCs/>
          <w:sz w:val="36"/>
          <w:szCs w:val="36"/>
        </w:rPr>
      </w:pPr>
    </w:p>
    <w:p>
      <w:pPr>
        <w:keepNext w:val="0"/>
        <w:keepLines w:val="0"/>
        <w:pageBreakBefore w:val="0"/>
        <w:kinsoku/>
        <w:wordWrap/>
        <w:overflowPunct/>
        <w:topLinePunct w:val="0"/>
        <w:autoSpaceDE/>
        <w:autoSpaceDN/>
        <w:bidi w:val="0"/>
        <w:adjustRightInd/>
        <w:snapToGrid/>
        <w:spacing w:line="420" w:lineRule="exact"/>
        <w:ind w:firstLine="542" w:firstLineChars="150"/>
        <w:jc w:val="center"/>
        <w:textAlignment w:val="auto"/>
        <w:rPr>
          <w:rFonts w:ascii="楷体_GB2312" w:eastAsia="楷体_GB2312"/>
          <w:b/>
          <w:bCs/>
          <w:color w:val="000000"/>
          <w:sz w:val="36"/>
          <w:szCs w:val="36"/>
        </w:rPr>
      </w:pPr>
      <w:r>
        <w:rPr>
          <w:rFonts w:hint="eastAsia" w:ascii="楷体_GB2312" w:eastAsia="楷体_GB2312"/>
          <w:b/>
          <w:bCs/>
          <w:color w:val="000000"/>
          <w:sz w:val="36"/>
          <w:szCs w:val="36"/>
        </w:rPr>
        <w:t>李关定副市长出席协会四届三次会员代表大会</w:t>
      </w:r>
    </w:p>
    <w:p>
      <w:pPr>
        <w:keepNext w:val="0"/>
        <w:keepLines w:val="0"/>
        <w:pageBreakBefore w:val="0"/>
        <w:kinsoku/>
        <w:wordWrap/>
        <w:overflowPunct/>
        <w:topLinePunct w:val="0"/>
        <w:autoSpaceDE/>
        <w:autoSpaceDN/>
        <w:bidi w:val="0"/>
        <w:adjustRightInd/>
        <w:snapToGrid/>
        <w:spacing w:line="420" w:lineRule="exact"/>
        <w:ind w:firstLine="542" w:firstLineChars="150"/>
        <w:jc w:val="center"/>
        <w:textAlignment w:val="auto"/>
        <w:rPr>
          <w:rFonts w:ascii="楷体_GB2312" w:eastAsia="楷体_GB2312"/>
          <w:b/>
          <w:bCs/>
          <w:color w:val="000000"/>
          <w:sz w:val="36"/>
          <w:szCs w:val="36"/>
        </w:rPr>
      </w:pPr>
      <w:r>
        <w:rPr>
          <w:rFonts w:hint="eastAsia" w:ascii="楷体_GB2312" w:eastAsia="楷体_GB2312"/>
          <w:b/>
          <w:bCs/>
          <w:color w:val="000000"/>
          <w:sz w:val="36"/>
          <w:szCs w:val="36"/>
        </w:rPr>
        <w:t>暨2021年年会</w:t>
      </w:r>
    </w:p>
    <w:p>
      <w:pPr>
        <w:keepNext w:val="0"/>
        <w:keepLines w:val="0"/>
        <w:pageBreakBefore w:val="0"/>
        <w:kinsoku/>
        <w:wordWrap/>
        <w:overflowPunct/>
        <w:topLinePunct w:val="0"/>
        <w:autoSpaceDE/>
        <w:autoSpaceDN/>
        <w:bidi w:val="0"/>
        <w:adjustRightInd/>
        <w:snapToGrid/>
        <w:spacing w:line="420" w:lineRule="exact"/>
        <w:ind w:firstLine="480" w:firstLineChars="200"/>
        <w:textAlignment w:val="auto"/>
        <w:rPr>
          <w:rFonts w:asciiTheme="minorEastAsia" w:hAnsiTheme="minorEastAsia"/>
          <w:color w:val="000000"/>
          <w:sz w:val="24"/>
          <w:szCs w:val="24"/>
        </w:rPr>
      </w:pPr>
    </w:p>
    <w:p>
      <w:pPr>
        <w:keepNext w:val="0"/>
        <w:keepLines w:val="0"/>
        <w:pageBreakBefore w:val="0"/>
        <w:kinsoku/>
        <w:wordWrap/>
        <w:overflowPunct/>
        <w:topLinePunct w:val="0"/>
        <w:autoSpaceDE/>
        <w:autoSpaceDN/>
        <w:bidi w:val="0"/>
        <w:adjustRightInd/>
        <w:snapToGrid/>
        <w:spacing w:line="420" w:lineRule="exact"/>
        <w:ind w:firstLine="480" w:firstLineChars="200"/>
        <w:textAlignment w:val="auto"/>
        <w:rPr>
          <w:rFonts w:asciiTheme="minorEastAsia" w:hAnsiTheme="minorEastAsia"/>
          <w:color w:val="000000"/>
          <w:sz w:val="24"/>
          <w:szCs w:val="24"/>
        </w:rPr>
        <w:sectPr>
          <w:type w:val="continuous"/>
          <w:pgSz w:w="11906" w:h="16838"/>
          <w:pgMar w:top="1440" w:right="1800" w:bottom="1440" w:left="1800" w:header="851" w:footer="992" w:gutter="0"/>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outlineLvl w:val="9"/>
        <w:rPr>
          <w:rFonts w:asciiTheme="minorEastAsia" w:hAnsiTheme="minorEastAsia"/>
          <w:color w:val="000000"/>
          <w:sz w:val="24"/>
          <w:szCs w:val="24"/>
        </w:rPr>
      </w:pPr>
      <w:r>
        <w:rPr>
          <w:rFonts w:hint="eastAsia" w:asciiTheme="minorEastAsia" w:hAnsiTheme="minorEastAsia"/>
          <w:color w:val="000000"/>
          <w:sz w:val="24"/>
          <w:szCs w:val="24"/>
        </w:rPr>
        <w:t>2020年12月16日下午，宁波市对外经济贸易企业协会（宁波进出口商会）四届三次会员代表大会暨2021年年会在富邦大酒店顺利召开。市政府副市长李关定，市商务局局长张延、党组副书记陈利珍、副局长韩隽及有关处室负责人，宁波海关、市外管局、市国税局、中信保宁波分公司、中国进出口银行宁波分行、市口岸办、市金融办等有关部门负责人应邀出席会议。协会会长刘建平、常务副会长王海生、监事长周锦富，协会常务理事、理事、部分会员单位负责人、各县（市）区商务主管部门、兄弟协（商）会负责人出席会议。会议特邀商务部研究院学术委员会副主任、区域经济研究中心主任张建平教授到会讲课。230多人汇聚一堂，共话新春。</w:t>
      </w:r>
      <w:r>
        <w:rPr>
          <w:rFonts w:hint="eastAsia" w:asciiTheme="minorEastAsia" w:hAnsiTheme="minorEastAsia"/>
          <w:color w:val="000000"/>
          <w:sz w:val="24"/>
          <w:szCs w:val="24"/>
        </w:rPr>
        <w:br w:type="textWrapping"/>
      </w:r>
      <w:r>
        <w:rPr>
          <w:rFonts w:hint="eastAsia" w:asciiTheme="minorEastAsia" w:hAnsiTheme="minorEastAsia"/>
          <w:color w:val="000000"/>
          <w:sz w:val="24"/>
          <w:szCs w:val="24"/>
        </w:rPr>
        <w:t>会议由协会会长刘建平主持。</w:t>
      </w:r>
      <w:r>
        <w:rPr>
          <w:rFonts w:hint="eastAsia" w:asciiTheme="minorEastAsia" w:hAnsiTheme="minorEastAsia"/>
          <w:color w:val="000000"/>
          <w:sz w:val="24"/>
          <w:szCs w:val="24"/>
        </w:rPr>
        <w:br w:type="textWrapping"/>
      </w:r>
      <w:r>
        <w:rPr>
          <w:rFonts w:hint="eastAsia" w:asciiTheme="minorEastAsia" w:hAnsiTheme="minorEastAsia"/>
          <w:color w:val="000000"/>
          <w:sz w:val="24"/>
          <w:szCs w:val="24"/>
        </w:rPr>
        <w:t>李关定副市长首先致辞。他代表市政府对本次大会的召开表示热烈的祝贺。</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outlineLvl w:val="9"/>
        <w:rPr>
          <w:rFonts w:asciiTheme="minorEastAsia" w:hAnsiTheme="minorEastAsia"/>
          <w:color w:val="000000"/>
          <w:sz w:val="24"/>
          <w:szCs w:val="24"/>
        </w:rPr>
      </w:pPr>
      <w:r>
        <w:rPr>
          <w:rFonts w:hint="eastAsia" w:asciiTheme="minorEastAsia" w:hAnsiTheme="minorEastAsia"/>
          <w:color w:val="000000"/>
          <w:sz w:val="24"/>
          <w:szCs w:val="24"/>
        </w:rPr>
        <w:t>李关定副市长回顾了2020年我市外贸行业跌宕起伏的境况：年初新冠疫情发生，外贸行业一片狼藉，但是通过十个月的奋斗，宁波外贸出口额逆势上扬。从全国计划单列市和各省的外贸数据来看，今年截止11月份宁波的外贸出口额占全国比重达3.6%，名列前茅，交出了一份高分答卷。他对今年宁波的外贸行业有这一份成绩感到特别自豪，对宁波外贸战线的企业家们表示崇高的敬意。</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outlineLvl w:val="9"/>
        <w:rPr>
          <w:rFonts w:asciiTheme="minorEastAsia" w:hAnsiTheme="minorEastAsia"/>
          <w:color w:val="000000"/>
          <w:sz w:val="24"/>
          <w:szCs w:val="24"/>
        </w:rPr>
      </w:pPr>
      <w:r>
        <w:rPr>
          <w:rFonts w:hint="eastAsia" w:asciiTheme="minorEastAsia" w:hAnsiTheme="minorEastAsia"/>
          <w:color w:val="000000"/>
          <w:sz w:val="24"/>
          <w:szCs w:val="24"/>
        </w:rPr>
        <w:t>李关定副市长指出，现在宁波外贸行业面临着两大压力：一是由于缺乏大量的劳动力，生产供应不足，订单无法安排；二是港口空箱短缺一箱难求，并且箱费呈几倍增长，增加了成本。但外贸的整体形势是乐观的，预计宁波今年进出口额增长8%以上。</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outlineLvl w:val="9"/>
        <w:rPr>
          <w:rFonts w:asciiTheme="minorEastAsia" w:hAnsiTheme="minorEastAsia"/>
          <w:color w:val="000000"/>
          <w:sz w:val="24"/>
          <w:szCs w:val="24"/>
        </w:rPr>
      </w:pPr>
      <w:r>
        <w:rPr>
          <w:rFonts w:hint="eastAsia" w:asciiTheme="minorEastAsia" w:hAnsiTheme="minorEastAsia"/>
          <w:color w:val="000000"/>
          <w:sz w:val="24"/>
          <w:szCs w:val="24"/>
        </w:rPr>
        <w:t>李关定副市长感慨道，宁波外贸出现这种井喷现象离不开中央的伟大决策。今年全国抗疫和复产两手抓，两场战争同时打赢。全国抗疫控制疫情，为复工复产创造了最重要的条件。宁波舟山港在全世界被疫情冲击生产难以恢复的情况下，发挥了“一带一路”的枢纽作用和世界供应链的硬核作用。3月29日总书记来宁波港口考察，更给宁波的民众和企业家带来了巨大的信心。</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outlineLvl w:val="9"/>
        <w:rPr>
          <w:rFonts w:asciiTheme="minorEastAsia" w:hAnsiTheme="minorEastAsia"/>
          <w:color w:val="000000"/>
          <w:sz w:val="24"/>
          <w:szCs w:val="24"/>
        </w:rPr>
      </w:pPr>
      <w:r>
        <w:rPr>
          <w:rFonts w:hint="eastAsia" w:asciiTheme="minorEastAsia" w:hAnsiTheme="minorEastAsia"/>
          <w:color w:val="000000"/>
          <w:sz w:val="24"/>
          <w:szCs w:val="24"/>
        </w:rPr>
        <w:t>宁波的外贸人齐心协力站在一条生死线上。宁波市政府最早出台外贸扶持政策，金融、信保、外汇、海关等各方面的支持为外贸进出口创造了良好的环境。同时，宁波的制造力支撑了宁波的港口和贸易发展，跨境电商、海外仓等新模式新业态连接了两大市场，连接了供应链和产业链，掌握了世界营销渠道，还带动了一般贸易的发展。2020年造就了跨境电商(出口)、海外仓的崛起，这背后是宁波的民营经济对市场先知先觉，他们对国际市场和国际需求有着深入的了解。</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outlineLvl w:val="9"/>
        <w:rPr>
          <w:rFonts w:asciiTheme="minorEastAsia" w:hAnsiTheme="minorEastAsia"/>
          <w:color w:val="000000"/>
          <w:sz w:val="24"/>
          <w:szCs w:val="24"/>
        </w:rPr>
      </w:pPr>
      <w:r>
        <w:rPr>
          <w:rFonts w:hint="eastAsia" w:asciiTheme="minorEastAsia" w:hAnsiTheme="minorEastAsia"/>
          <w:color w:val="000000"/>
          <w:sz w:val="24"/>
          <w:szCs w:val="24"/>
        </w:rPr>
        <w:t>李关定副市长在致辞的最后指出宁波有着千军万马、千方百计、千山万水、千言万语的新“四千”精神，他表示对新一年宁波外贸的发展充满信心，倡导宁波的外贸企业走遍一带一路，期待宁波的外贸企业于新的一年在构建新格局中当好模范生。</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outlineLvl w:val="9"/>
        <w:rPr>
          <w:rFonts w:asciiTheme="minorEastAsia" w:hAnsiTheme="minorEastAsia"/>
          <w:color w:val="000000"/>
          <w:sz w:val="24"/>
          <w:szCs w:val="24"/>
        </w:rPr>
      </w:pPr>
      <w:r>
        <w:rPr>
          <w:rFonts w:hint="eastAsia" w:asciiTheme="minorEastAsia" w:hAnsiTheme="minorEastAsia"/>
          <w:color w:val="000000"/>
          <w:sz w:val="24"/>
          <w:szCs w:val="24"/>
        </w:rPr>
        <w:t>接着，张建平教授为与会领导和企业家作题为《国际发展新格局与2021年外贸形势展望》的讲座，结合中美贸易、RCEP、双循环新发展格局及十四五规划分析明年外贸形势。</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outlineLvl w:val="9"/>
        <w:rPr>
          <w:rFonts w:asciiTheme="minorEastAsia" w:hAnsiTheme="minorEastAsia"/>
          <w:color w:val="000000"/>
          <w:sz w:val="24"/>
          <w:szCs w:val="24"/>
        </w:rPr>
      </w:pPr>
      <w:r>
        <w:rPr>
          <w:rFonts w:hint="eastAsia" w:asciiTheme="minorEastAsia" w:hAnsiTheme="minorEastAsia"/>
          <w:color w:val="000000"/>
          <w:sz w:val="24"/>
          <w:szCs w:val="24"/>
        </w:rPr>
        <w:t>张教授讲述了疫情导致全球供应链受到冲击的情况，例举苹果公司的案例分析了全球价值链位置分布，指出航空航天、机电设备制造、电子设备制造等产业将会收到较大影响。张教授也深入分析了疫情对中国资本市场的影响、中美经贸关系的非传统特征，讲述了跨境电商等新业态、新模式和新动力的发展，着重分析了中美贸易实况和中国的经济形势。在疫情反复存在很多因素不确定的情况下，张教授表示对2021年下半年的外贸形势需要保持高度警惕并做好预案。他期待宁波的企业家在RCEP和亚太的市场托力下能够让企业成长成跨国公司，让宁波的外贸行业高质量发展，让双循环通畅运行。</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outlineLvl w:val="9"/>
        <w:rPr>
          <w:rFonts w:asciiTheme="minorEastAsia" w:hAnsiTheme="minorEastAsia"/>
          <w:color w:val="000000"/>
          <w:sz w:val="24"/>
          <w:szCs w:val="24"/>
        </w:rPr>
      </w:pPr>
      <w:r>
        <w:rPr>
          <w:rFonts w:hint="eastAsia" w:asciiTheme="minorEastAsia" w:hAnsiTheme="minorEastAsia"/>
          <w:color w:val="000000"/>
          <w:sz w:val="24"/>
          <w:szCs w:val="24"/>
        </w:rPr>
        <w:t>课后，张建平教授针对与会代表提出的人民币汇率走向、原材料涨价问题作了详细的解答。企业均表示此次讲座收获颇多，了解了政府对外贸企业的发展思路和要求，学习了最前沿的企业管理思路和模式。</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outlineLvl w:val="9"/>
        <w:rPr>
          <w:rFonts w:asciiTheme="minorEastAsia" w:hAnsiTheme="minorEastAsia"/>
          <w:color w:val="000000"/>
          <w:sz w:val="24"/>
          <w:szCs w:val="24"/>
        </w:rPr>
      </w:pPr>
      <w:r>
        <w:rPr>
          <w:rFonts w:hint="eastAsia" w:asciiTheme="minorEastAsia" w:hAnsiTheme="minorEastAsia"/>
          <w:color w:val="000000"/>
          <w:sz w:val="24"/>
          <w:szCs w:val="24"/>
        </w:rPr>
        <w:t>会议最后一项议程是听取协会2020年度工作报告、财务报告和监事会报告。</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outlineLvl w:val="9"/>
        <w:rPr>
          <w:rFonts w:asciiTheme="minorEastAsia" w:hAnsiTheme="minorEastAsia"/>
          <w:color w:val="000000"/>
          <w:sz w:val="24"/>
          <w:szCs w:val="24"/>
        </w:rPr>
      </w:pPr>
      <w:r>
        <w:rPr>
          <w:rFonts w:hint="eastAsia" w:asciiTheme="minorEastAsia" w:hAnsiTheme="minorEastAsia"/>
          <w:color w:val="000000"/>
          <w:sz w:val="24"/>
          <w:szCs w:val="24"/>
        </w:rPr>
        <w:t>刘建平会长围绕协会今年有关助力新冠疫情防控、助推复工复产情况、举办培训通报政策、举办展览促进合作、联系会员加强交流、密切外联拓展资源以及秘书处的日常工作等方面开展的一系列工作向大会进行了汇报。</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outlineLvl w:val="9"/>
        <w:rPr>
          <w:rFonts w:asciiTheme="minorEastAsia" w:hAnsiTheme="minorEastAsia"/>
          <w:color w:val="000000"/>
          <w:sz w:val="24"/>
          <w:szCs w:val="24"/>
        </w:rPr>
      </w:pPr>
      <w:r>
        <w:rPr>
          <w:rFonts w:hint="eastAsia" w:asciiTheme="minorEastAsia" w:hAnsiTheme="minorEastAsia"/>
          <w:color w:val="000000"/>
          <w:sz w:val="24"/>
          <w:szCs w:val="24"/>
        </w:rPr>
        <w:t>同时刘建平会长表示在新的一年里，协会要继续深入学习贯彻党的十九大精神，以习近平新时代中国特色社会主义思想为指导，贯彻落实市“225”外贸双万亿行动计划，在加快构建国内国际双循环相互促进的新发展格局中积极作为，按照市商务局和市社团管理部门的部署和要求，深化与有关部门、有关机构的联系合作，把服务企业摆在协会工作的首要位置，在集中做好推优评优、记录甬商抗疫事迹、开展各类培训、深入调研帮助维权、帮助企业转型升级、加强会员工作、密切兄弟协会协作等工作的同时不断完善自身建设。</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outlineLvl w:val="9"/>
        <w:rPr>
          <w:rFonts w:asciiTheme="minorEastAsia" w:hAnsiTheme="minorEastAsia"/>
          <w:color w:val="000000"/>
          <w:sz w:val="24"/>
          <w:szCs w:val="24"/>
        </w:rPr>
      </w:pPr>
      <w:r>
        <w:rPr>
          <w:rFonts w:hint="eastAsia" w:asciiTheme="minorEastAsia" w:hAnsiTheme="minorEastAsia"/>
          <w:color w:val="000000"/>
          <w:sz w:val="24"/>
          <w:szCs w:val="24"/>
        </w:rPr>
        <w:t>会议也同时审议通过了协会《章程（修改草案）》。</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outlineLvl w:val="9"/>
        <w:rPr>
          <w:rFonts w:asciiTheme="minorEastAsia" w:hAnsiTheme="minorEastAsia"/>
          <w:sz w:val="24"/>
          <w:szCs w:val="24"/>
        </w:rPr>
      </w:pPr>
      <w:r>
        <w:rPr>
          <w:rFonts w:hint="eastAsia" w:asciiTheme="minorEastAsia" w:hAnsiTheme="minorEastAsia"/>
          <w:color w:val="000000"/>
          <w:sz w:val="24"/>
          <w:szCs w:val="24"/>
        </w:rPr>
        <w:t>此次四届三次会员代表大会暨2021年年会圆满结束。会后，各企业代表相互讨论和分享经验。今后协会将组织更多这样的交流机会，发挥政企沟通桥梁的作用。</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outlineLvl w:val="9"/>
        <w:rPr>
          <w:rFonts w:ascii="华文彩云" w:hAnsi="宋体" w:eastAsia="华文彩云"/>
          <w:sz w:val="36"/>
          <w:szCs w:val="36"/>
        </w:rPr>
        <w:sectPr>
          <w:type w:val="continuous"/>
          <w:pgSz w:w="11906" w:h="16838"/>
          <w:pgMar w:top="1440" w:right="1800" w:bottom="1440" w:left="1800" w:header="851" w:footer="992" w:gutter="0"/>
          <w:cols w:space="425" w:num="2"/>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outlineLvl w:val="9"/>
        <w:rPr>
          <w:rFonts w:ascii="华文彩云" w:hAnsi="宋体" w:eastAsia="华文彩云"/>
          <w:sz w:val="36"/>
          <w:szCs w:val="36"/>
        </w:rPr>
      </w:pP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outlineLvl w:val="9"/>
        <w:rPr>
          <w:rFonts w:cs="Times New Roman" w:asciiTheme="minorEastAsia" w:hAnsiTheme="minorEastAsia"/>
          <w:sz w:val="24"/>
          <w:szCs w:val="24"/>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楷体_GB2312" w:eastAsia="楷体_GB2312"/>
          <w:bCs/>
          <w:color w:val="000000"/>
          <w:sz w:val="36"/>
          <w:szCs w:val="36"/>
        </w:rPr>
      </w:pPr>
    </w:p>
    <w:p>
      <w:pPr>
        <w:keepNext w:val="0"/>
        <w:keepLines w:val="0"/>
        <w:pageBreakBefore w:val="0"/>
        <w:kinsoku/>
        <w:wordWrap/>
        <w:overflowPunct/>
        <w:topLinePunct w:val="0"/>
        <w:autoSpaceDE/>
        <w:autoSpaceDN/>
        <w:bidi w:val="0"/>
        <w:adjustRightInd/>
        <w:snapToGrid/>
        <w:spacing w:line="420" w:lineRule="exact"/>
        <w:jc w:val="center"/>
        <w:textAlignment w:val="auto"/>
        <w:rPr>
          <w:rFonts w:ascii="楷体_GB2312" w:eastAsia="楷体_GB2312"/>
          <w:b/>
          <w:bCs w:val="0"/>
          <w:color w:val="000000"/>
          <w:sz w:val="36"/>
          <w:szCs w:val="36"/>
        </w:rPr>
      </w:pPr>
      <w:r>
        <w:rPr>
          <w:rFonts w:hint="eastAsia" w:ascii="楷体_GB2312" w:eastAsia="楷体_GB2312"/>
          <w:b/>
          <w:bCs w:val="0"/>
          <w:color w:val="000000"/>
          <w:sz w:val="36"/>
          <w:szCs w:val="36"/>
        </w:rPr>
        <w:t>协会召开四届三次理事会会议</w:t>
      </w:r>
    </w:p>
    <w:p>
      <w:pPr>
        <w:keepNext w:val="0"/>
        <w:keepLines w:val="0"/>
        <w:pageBreakBefore w:val="0"/>
        <w:kinsoku/>
        <w:wordWrap/>
        <w:overflowPunct/>
        <w:topLinePunct w:val="0"/>
        <w:autoSpaceDE/>
        <w:autoSpaceDN/>
        <w:bidi w:val="0"/>
        <w:adjustRightInd/>
        <w:snapToGrid/>
        <w:spacing w:line="420" w:lineRule="exact"/>
        <w:jc w:val="left"/>
        <w:textAlignment w:val="auto"/>
        <w:rPr>
          <w:b/>
          <w:bCs/>
          <w:color w:val="000000"/>
        </w:rPr>
      </w:pPr>
    </w:p>
    <w:p>
      <w:pPr>
        <w:keepNext w:val="0"/>
        <w:keepLines w:val="0"/>
        <w:pageBreakBefore w:val="0"/>
        <w:kinsoku/>
        <w:wordWrap/>
        <w:overflowPunct/>
        <w:topLinePunct w:val="0"/>
        <w:autoSpaceDE/>
        <w:autoSpaceDN/>
        <w:bidi w:val="0"/>
        <w:adjustRightInd/>
        <w:snapToGrid/>
        <w:spacing w:line="420" w:lineRule="exact"/>
        <w:ind w:firstLine="480" w:firstLineChars="200"/>
        <w:textAlignment w:val="auto"/>
        <w:rPr>
          <w:rFonts w:asciiTheme="minorEastAsia" w:hAnsiTheme="minorEastAsia"/>
          <w:sz w:val="24"/>
          <w:szCs w:val="24"/>
        </w:rPr>
        <w:sectPr>
          <w:type w:val="continuous"/>
          <w:pgSz w:w="11906" w:h="16838"/>
          <w:pgMar w:top="1440" w:right="1800" w:bottom="1440" w:left="1800" w:header="851" w:footer="992" w:gutter="0"/>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outlineLvl w:val="9"/>
        <w:rPr>
          <w:rFonts w:asciiTheme="minorEastAsia" w:hAnsiTheme="minorEastAsia"/>
          <w:color w:val="000000" w:themeColor="text1"/>
          <w:sz w:val="24"/>
          <w:szCs w:val="24"/>
        </w:rPr>
      </w:pPr>
      <w:r>
        <w:rPr>
          <w:rFonts w:hint="eastAsia" w:asciiTheme="minorEastAsia" w:hAnsiTheme="minorEastAsia"/>
          <w:sz w:val="24"/>
          <w:szCs w:val="24"/>
        </w:rPr>
        <w:t>2020年12月16日下午，宁波市对外经济贸易企业协会（宁波进出口商会）在富邦大酒店召开四届三次理事会会议。协会</w:t>
      </w:r>
      <w:r>
        <w:rPr>
          <w:rFonts w:hint="eastAsia" w:asciiTheme="minorEastAsia" w:hAnsiTheme="minorEastAsia"/>
          <w:color w:val="000000" w:themeColor="text1"/>
          <w:sz w:val="24"/>
          <w:szCs w:val="24"/>
        </w:rPr>
        <w:t xml:space="preserve">会长刘建平、常务副会长王海生、监事长周锦富，协会常务理事、理事、监事会成员共计70余人出席会议。  </w:t>
      </w:r>
    </w:p>
    <w:p>
      <w:pPr>
        <w:keepNext w:val="0"/>
        <w:keepLines w:val="0"/>
        <w:pageBreakBefore w:val="0"/>
        <w:widowControl w:val="0"/>
        <w:kinsoku/>
        <w:wordWrap/>
        <w:overflowPunct/>
        <w:topLinePunct w:val="0"/>
        <w:autoSpaceDE/>
        <w:autoSpaceDN/>
        <w:bidi w:val="0"/>
        <w:adjustRightInd/>
        <w:snapToGrid/>
        <w:spacing w:line="400" w:lineRule="exact"/>
        <w:ind w:firstLine="200"/>
        <w:textAlignment w:val="auto"/>
        <w:outlineLvl w:val="9"/>
        <w:rPr>
          <w:rFonts w:asciiTheme="minorEastAsia" w:hAnsiTheme="minorEastAsia"/>
          <w:color w:val="000000" w:themeColor="text1"/>
          <w:sz w:val="24"/>
          <w:szCs w:val="24"/>
        </w:rPr>
      </w:pPr>
      <w:r>
        <w:rPr>
          <w:rFonts w:hint="eastAsia" w:asciiTheme="minorEastAsia" w:hAnsiTheme="minorEastAsia"/>
          <w:color w:val="000000" w:themeColor="text1"/>
          <w:sz w:val="24"/>
          <w:szCs w:val="24"/>
        </w:rPr>
        <w:t xml:space="preserve">  此次理事会议着重审议通过了副秘书长聘任制度、副秘书长推荐名单，讨论通过了今年新入会的企业名单及申请升级的企业名单。  </w:t>
      </w:r>
    </w:p>
    <w:p>
      <w:pPr>
        <w:keepNext w:val="0"/>
        <w:keepLines w:val="0"/>
        <w:pageBreakBefore w:val="0"/>
        <w:widowControl w:val="0"/>
        <w:kinsoku/>
        <w:wordWrap/>
        <w:overflowPunct/>
        <w:topLinePunct w:val="0"/>
        <w:autoSpaceDE/>
        <w:autoSpaceDN/>
        <w:bidi w:val="0"/>
        <w:adjustRightInd/>
        <w:snapToGrid/>
        <w:spacing w:line="400" w:lineRule="exact"/>
        <w:ind w:firstLine="200"/>
        <w:textAlignment w:val="auto"/>
        <w:outlineLvl w:val="9"/>
        <w:rPr>
          <w:rFonts w:asciiTheme="minorEastAsia" w:hAnsiTheme="minorEastAsia"/>
          <w:color w:val="000000" w:themeColor="text1"/>
          <w:sz w:val="24"/>
          <w:szCs w:val="24"/>
        </w:rPr>
      </w:pPr>
      <w:r>
        <w:rPr>
          <w:rFonts w:hint="eastAsia" w:asciiTheme="minorEastAsia" w:hAnsiTheme="minorEastAsia"/>
          <w:color w:val="000000" w:themeColor="text1"/>
          <w:sz w:val="24"/>
          <w:szCs w:val="24"/>
        </w:rPr>
        <w:t xml:space="preserve">  常务副会长王海生针对协会《章程修改草案（讨论稿）》的修改部分作了相关说明。参会理事一致同意，并举手表决通过。  </w:t>
      </w:r>
    </w:p>
    <w:p>
      <w:pPr>
        <w:keepNext w:val="0"/>
        <w:keepLines w:val="0"/>
        <w:pageBreakBefore w:val="0"/>
        <w:widowControl w:val="0"/>
        <w:kinsoku/>
        <w:wordWrap/>
        <w:overflowPunct/>
        <w:topLinePunct w:val="0"/>
        <w:autoSpaceDE/>
        <w:autoSpaceDN/>
        <w:bidi w:val="0"/>
        <w:adjustRightInd/>
        <w:snapToGrid/>
        <w:spacing w:line="400" w:lineRule="exact"/>
        <w:ind w:firstLine="200"/>
        <w:textAlignment w:val="auto"/>
        <w:outlineLvl w:val="9"/>
        <w:rPr>
          <w:rFonts w:asciiTheme="minorEastAsia" w:hAnsiTheme="minorEastAsia"/>
          <w:color w:val="000000" w:themeColor="text1"/>
          <w:sz w:val="24"/>
          <w:szCs w:val="24"/>
        </w:rPr>
      </w:pPr>
      <w:r>
        <w:rPr>
          <w:rFonts w:hint="eastAsia" w:asciiTheme="minorEastAsia" w:hAnsiTheme="minorEastAsia"/>
          <w:color w:val="000000" w:themeColor="text1"/>
          <w:sz w:val="24"/>
          <w:szCs w:val="24"/>
        </w:rPr>
        <w:t xml:space="preserve">  本次会议文件中载录了部分四届二次理事会以来新制定的和修改过的制度，参会理事就这些制度展开讨论，提出了意见和建议。  </w:t>
      </w:r>
    </w:p>
    <w:p>
      <w:pPr>
        <w:keepNext w:val="0"/>
        <w:keepLines w:val="0"/>
        <w:pageBreakBefore w:val="0"/>
        <w:widowControl w:val="0"/>
        <w:kinsoku/>
        <w:wordWrap/>
        <w:overflowPunct/>
        <w:topLinePunct w:val="0"/>
        <w:autoSpaceDE/>
        <w:autoSpaceDN/>
        <w:bidi w:val="0"/>
        <w:adjustRightInd/>
        <w:snapToGrid/>
        <w:spacing w:line="400" w:lineRule="exact"/>
        <w:ind w:firstLine="360" w:firstLineChars="150"/>
        <w:textAlignment w:val="auto"/>
        <w:outlineLvl w:val="9"/>
        <w:rPr>
          <w:rFonts w:asciiTheme="minorEastAsia" w:hAnsiTheme="minorEastAsia"/>
          <w:color w:val="000000" w:themeColor="text1"/>
          <w:sz w:val="24"/>
          <w:szCs w:val="24"/>
        </w:rPr>
      </w:pPr>
      <w:r>
        <w:rPr>
          <w:rFonts w:hint="eastAsia" w:asciiTheme="minorEastAsia" w:hAnsiTheme="minorEastAsia"/>
          <w:color w:val="000000" w:themeColor="text1"/>
          <w:sz w:val="24"/>
          <w:szCs w:val="24"/>
        </w:rPr>
        <w:t xml:space="preserve"> 会议由协会会长刘建平主持。</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outlineLvl w:val="9"/>
        <w:rPr>
          <w:rFonts w:ascii="华文彩云" w:hAnsi="宋体" w:eastAsia="华文彩云"/>
          <w:color w:val="000000" w:themeColor="text1"/>
          <w:sz w:val="36"/>
          <w:szCs w:val="36"/>
        </w:rPr>
        <w:sectPr>
          <w:type w:val="continuous"/>
          <w:pgSz w:w="11906" w:h="16838"/>
          <w:pgMar w:top="1440" w:right="1800" w:bottom="1440" w:left="1800" w:header="851" w:footer="992" w:gutter="0"/>
          <w:cols w:space="425" w:num="2"/>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outlineLvl w:val="9"/>
        <w:rPr>
          <w:rFonts w:ascii="华文彩云" w:hAnsi="宋体" w:eastAsia="华文彩云"/>
          <w:color w:val="000000" w:themeColor="text1"/>
          <w:sz w:val="36"/>
          <w:szCs w:val="36"/>
        </w:rPr>
      </w:pP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outlineLvl w:val="9"/>
        <w:rPr>
          <w:rFonts w:ascii="华文彩云" w:hAnsi="宋体" w:eastAsia="华文彩云"/>
          <w:color w:val="000000" w:themeColor="text1"/>
          <w:sz w:val="36"/>
          <w:szCs w:val="36"/>
        </w:rPr>
      </w:pP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楷体_GB2312" w:hAnsi="微软雅黑" w:eastAsia="楷体_GB2312" w:cs="宋体"/>
          <w:color w:val="000000" w:themeColor="text1"/>
          <w:spacing w:val="8"/>
          <w:kern w:val="0"/>
          <w:sz w:val="36"/>
          <w:szCs w:val="36"/>
        </w:rPr>
      </w:pPr>
    </w:p>
    <w:p>
      <w:pPr>
        <w:keepNext w:val="0"/>
        <w:keepLines w:val="0"/>
        <w:pageBreakBefore w:val="0"/>
        <w:widowControl/>
        <w:shd w:val="clear" w:color="auto" w:fill="FFFFFF"/>
        <w:kinsoku/>
        <w:wordWrap/>
        <w:overflowPunct/>
        <w:topLinePunct w:val="0"/>
        <w:autoSpaceDE/>
        <w:autoSpaceDN/>
        <w:bidi w:val="0"/>
        <w:adjustRightInd/>
        <w:snapToGrid/>
        <w:spacing w:line="420" w:lineRule="exact"/>
        <w:jc w:val="center"/>
        <w:textAlignment w:val="auto"/>
        <w:outlineLvl w:val="1"/>
        <w:rPr>
          <w:rFonts w:ascii="楷体_GB2312" w:hAnsi="微软雅黑" w:eastAsia="楷体_GB2312" w:cs="宋体"/>
          <w:b/>
          <w:bCs/>
          <w:color w:val="000000" w:themeColor="text1"/>
          <w:spacing w:val="8"/>
          <w:kern w:val="0"/>
          <w:sz w:val="36"/>
          <w:szCs w:val="36"/>
        </w:rPr>
      </w:pPr>
      <w:r>
        <w:rPr>
          <w:rFonts w:hint="eastAsia" w:ascii="楷体_GB2312" w:hAnsi="微软雅黑" w:eastAsia="楷体_GB2312" w:cs="宋体"/>
          <w:b/>
          <w:bCs/>
          <w:color w:val="000000" w:themeColor="text1"/>
          <w:spacing w:val="8"/>
          <w:kern w:val="0"/>
          <w:sz w:val="36"/>
          <w:szCs w:val="36"/>
        </w:rPr>
        <w:t>协会联合宁波银行和市文化金融服务中心有限公司</w:t>
      </w:r>
    </w:p>
    <w:p>
      <w:pPr>
        <w:keepNext w:val="0"/>
        <w:keepLines w:val="0"/>
        <w:pageBreakBefore w:val="0"/>
        <w:widowControl/>
        <w:shd w:val="clear" w:color="auto" w:fill="FFFFFF"/>
        <w:kinsoku/>
        <w:wordWrap/>
        <w:overflowPunct/>
        <w:topLinePunct w:val="0"/>
        <w:autoSpaceDE/>
        <w:autoSpaceDN/>
        <w:bidi w:val="0"/>
        <w:adjustRightInd/>
        <w:snapToGrid/>
        <w:spacing w:line="420" w:lineRule="exact"/>
        <w:jc w:val="center"/>
        <w:textAlignment w:val="auto"/>
        <w:outlineLvl w:val="1"/>
        <w:rPr>
          <w:rFonts w:ascii="楷体_GB2312" w:hAnsi="微软雅黑" w:eastAsia="楷体_GB2312" w:cs="宋体"/>
          <w:b/>
          <w:bCs/>
          <w:color w:val="000000" w:themeColor="text1"/>
          <w:spacing w:val="8"/>
          <w:kern w:val="0"/>
          <w:sz w:val="36"/>
          <w:szCs w:val="36"/>
        </w:rPr>
      </w:pPr>
      <w:r>
        <w:rPr>
          <w:rFonts w:hint="eastAsia" w:ascii="楷体_GB2312" w:hAnsi="微软雅黑" w:eastAsia="楷体_GB2312" w:cs="宋体"/>
          <w:b/>
          <w:bCs/>
          <w:color w:val="000000" w:themeColor="text1"/>
          <w:spacing w:val="8"/>
          <w:kern w:val="0"/>
          <w:sz w:val="36"/>
          <w:szCs w:val="36"/>
        </w:rPr>
        <w:t>举办汇率避险及甬贸贷融资专题讲座</w:t>
      </w:r>
    </w:p>
    <w:p>
      <w:pPr>
        <w:pStyle w:val="7"/>
        <w:keepNext w:val="0"/>
        <w:keepLines w:val="0"/>
        <w:pageBreakBefore w:val="0"/>
        <w:shd w:val="clear" w:color="auto" w:fill="FFFFFF"/>
        <w:kinsoku/>
        <w:wordWrap/>
        <w:overflowPunct/>
        <w:topLinePunct w:val="0"/>
        <w:autoSpaceDE/>
        <w:autoSpaceDN/>
        <w:bidi w:val="0"/>
        <w:adjustRightInd/>
        <w:snapToGrid/>
        <w:spacing w:beforeAutospacing="0" w:afterAutospacing="0" w:line="420" w:lineRule="exact"/>
        <w:ind w:firstLine="480"/>
        <w:textAlignment w:val="auto"/>
        <w:rPr>
          <w:color w:val="000000" w:themeColor="text1"/>
          <w:spacing w:val="8"/>
        </w:rPr>
      </w:pPr>
    </w:p>
    <w:p>
      <w:pPr>
        <w:pStyle w:val="7"/>
        <w:keepNext w:val="0"/>
        <w:keepLines w:val="0"/>
        <w:pageBreakBefore w:val="0"/>
        <w:shd w:val="clear" w:color="auto" w:fill="FFFFFF"/>
        <w:kinsoku/>
        <w:wordWrap/>
        <w:overflowPunct/>
        <w:topLinePunct w:val="0"/>
        <w:autoSpaceDE/>
        <w:autoSpaceDN/>
        <w:bidi w:val="0"/>
        <w:adjustRightInd/>
        <w:snapToGrid/>
        <w:spacing w:beforeAutospacing="0" w:afterAutospacing="0" w:line="420" w:lineRule="exact"/>
        <w:ind w:firstLine="512" w:firstLineChars="200"/>
        <w:textAlignment w:val="auto"/>
        <w:rPr>
          <w:rFonts w:asciiTheme="minorEastAsia" w:hAnsiTheme="minorEastAsia"/>
          <w:color w:val="000000" w:themeColor="text1"/>
          <w:spacing w:val="8"/>
          <w:szCs w:val="24"/>
        </w:rPr>
        <w:sectPr>
          <w:type w:val="continuous"/>
          <w:pgSz w:w="11906" w:h="16838"/>
          <w:pgMar w:top="1440" w:right="1800" w:bottom="1440" w:left="1800" w:header="851" w:footer="992" w:gutter="0"/>
          <w:cols w:space="425" w:num="1"/>
          <w:docGrid w:type="lines" w:linePitch="312" w:charSpace="0"/>
        </w:sectPr>
      </w:pPr>
    </w:p>
    <w:p>
      <w:pPr>
        <w:pStyle w:val="7"/>
        <w:keepNext w:val="0"/>
        <w:keepLines w:val="0"/>
        <w:pageBreakBefore w:val="0"/>
        <w:shd w:val="clear" w:color="auto" w:fill="FFFFFF"/>
        <w:kinsoku/>
        <w:wordWrap/>
        <w:overflowPunct/>
        <w:topLinePunct w:val="0"/>
        <w:autoSpaceDE/>
        <w:autoSpaceDN/>
        <w:bidi w:val="0"/>
        <w:adjustRightInd/>
        <w:snapToGrid/>
        <w:spacing w:beforeAutospacing="0" w:afterAutospacing="0" w:line="400" w:lineRule="exact"/>
        <w:ind w:firstLine="512" w:firstLineChars="200"/>
        <w:textAlignment w:val="auto"/>
        <w:outlineLvl w:val="9"/>
        <w:rPr>
          <w:rFonts w:asciiTheme="minorEastAsia" w:hAnsiTheme="minorEastAsia"/>
          <w:color w:val="000000" w:themeColor="text1"/>
          <w:spacing w:val="8"/>
          <w:szCs w:val="24"/>
        </w:rPr>
      </w:pPr>
      <w:r>
        <w:rPr>
          <w:rFonts w:hint="eastAsia" w:asciiTheme="minorEastAsia" w:hAnsiTheme="minorEastAsia"/>
          <w:color w:val="000000" w:themeColor="text1"/>
          <w:spacing w:val="8"/>
          <w:szCs w:val="24"/>
        </w:rPr>
        <w:t>受国际贸易与全球经济等态势影响，近来汇率市场不确定性有所增加，为引导和帮助企业财务、财资等部门专业人员结合近期市场动态、合理运用汇率避险工具，进一步提升应对不确定性因素的能力，同时为我市中小微企业资金短缺、融资难、融资贵问题提供新的解决途径，在市商务局指导下，我协会联合宁波银行和宁波市文化金融服务中心有限公司于1月14日下午在宁波银行总行开展了汇率避险及甬贸贷融资专题讲座，通过线上线下相结合的培训模式进行，与企业开展交流分享。</w:t>
      </w:r>
    </w:p>
    <w:p>
      <w:pPr>
        <w:pStyle w:val="7"/>
        <w:keepNext w:val="0"/>
        <w:keepLines w:val="0"/>
        <w:pageBreakBefore w:val="0"/>
        <w:shd w:val="clear" w:color="auto" w:fill="FFFFFF"/>
        <w:kinsoku/>
        <w:wordWrap/>
        <w:overflowPunct/>
        <w:topLinePunct w:val="0"/>
        <w:autoSpaceDE/>
        <w:autoSpaceDN/>
        <w:bidi w:val="0"/>
        <w:adjustRightInd/>
        <w:snapToGrid/>
        <w:spacing w:beforeAutospacing="0" w:afterAutospacing="0" w:line="400" w:lineRule="exact"/>
        <w:ind w:firstLine="512" w:firstLineChars="200"/>
        <w:textAlignment w:val="auto"/>
        <w:outlineLvl w:val="9"/>
        <w:rPr>
          <w:rFonts w:asciiTheme="minorEastAsia" w:hAnsiTheme="minorEastAsia"/>
          <w:color w:val="000000" w:themeColor="text1"/>
          <w:spacing w:val="8"/>
          <w:szCs w:val="24"/>
        </w:rPr>
      </w:pPr>
      <w:r>
        <w:rPr>
          <w:rFonts w:hint="eastAsia" w:asciiTheme="minorEastAsia" w:hAnsiTheme="minorEastAsia"/>
          <w:color w:val="000000" w:themeColor="text1"/>
          <w:spacing w:val="8"/>
          <w:szCs w:val="24"/>
        </w:rPr>
        <w:t>市商务局对外贸易管理处李旭君处长，宁波银行党委委员、董事会秘书俞罡主任，宁波银行总行金融市场部赵小庆副总经理，宁波市文化金融服务中心有限公司叶晋盛总经理以及数位企业代表参加了此次会议。会议由协会秘书长池俏瑜主持。</w:t>
      </w:r>
    </w:p>
    <w:p>
      <w:pPr>
        <w:pStyle w:val="7"/>
        <w:keepNext w:val="0"/>
        <w:keepLines w:val="0"/>
        <w:pageBreakBefore w:val="0"/>
        <w:shd w:val="clear" w:color="auto" w:fill="FFFFFF"/>
        <w:kinsoku/>
        <w:wordWrap/>
        <w:overflowPunct/>
        <w:topLinePunct w:val="0"/>
        <w:autoSpaceDE/>
        <w:autoSpaceDN/>
        <w:bidi w:val="0"/>
        <w:adjustRightInd/>
        <w:snapToGrid/>
        <w:spacing w:beforeAutospacing="0" w:afterAutospacing="0" w:line="400" w:lineRule="exact"/>
        <w:ind w:firstLine="512" w:firstLineChars="200"/>
        <w:textAlignment w:val="auto"/>
        <w:outlineLvl w:val="9"/>
        <w:rPr>
          <w:rFonts w:asciiTheme="minorEastAsia" w:hAnsiTheme="minorEastAsia"/>
          <w:color w:val="000000" w:themeColor="text1"/>
          <w:spacing w:val="8"/>
          <w:szCs w:val="24"/>
        </w:rPr>
      </w:pPr>
      <w:r>
        <w:rPr>
          <w:rFonts w:hint="eastAsia" w:asciiTheme="minorEastAsia" w:hAnsiTheme="minorEastAsia"/>
          <w:color w:val="000000" w:themeColor="text1"/>
          <w:spacing w:val="8"/>
          <w:szCs w:val="24"/>
        </w:rPr>
        <w:t>市商务局对外贸易管理处李旭君处长指出：“在近期相关调研中，不少企业提出希望借助金融产品进行汇率避险，但对相关产品了解有限；也有企业提出碰到了资金短缺、融资难、融资贵的问题。通过这次讲座，希望能够为企业更好应对汇率风险提供有益思考，为外贸企业破解融资难题提供一个优质的选择。” </w:t>
      </w:r>
    </w:p>
    <w:p>
      <w:pPr>
        <w:pStyle w:val="7"/>
        <w:keepNext w:val="0"/>
        <w:keepLines w:val="0"/>
        <w:pageBreakBefore w:val="0"/>
        <w:shd w:val="clear" w:color="auto" w:fill="FFFFFF"/>
        <w:kinsoku/>
        <w:wordWrap/>
        <w:overflowPunct/>
        <w:topLinePunct w:val="0"/>
        <w:autoSpaceDE/>
        <w:autoSpaceDN/>
        <w:bidi w:val="0"/>
        <w:adjustRightInd/>
        <w:snapToGrid/>
        <w:spacing w:beforeAutospacing="0" w:afterAutospacing="0" w:line="400" w:lineRule="exact"/>
        <w:ind w:firstLine="512" w:firstLineChars="200"/>
        <w:textAlignment w:val="auto"/>
        <w:outlineLvl w:val="9"/>
        <w:rPr>
          <w:rFonts w:asciiTheme="minorEastAsia" w:hAnsiTheme="minorEastAsia"/>
          <w:color w:val="000000" w:themeColor="text1"/>
          <w:spacing w:val="8"/>
        </w:rPr>
      </w:pPr>
      <w:r>
        <w:rPr>
          <w:rFonts w:hint="eastAsia" w:asciiTheme="minorEastAsia" w:hAnsiTheme="minorEastAsia"/>
          <w:color w:val="000000" w:themeColor="text1"/>
          <w:spacing w:val="8"/>
          <w:szCs w:val="24"/>
        </w:rPr>
        <w:t>宁波银行总行金融市场部赵小庆副总经理为本次的培训课程做了深入分析。她介绍了中美基本面情况：1.由于疫情冲击的时点差异、反控疫情的力度差异等因素，使得经济复苏周期先于美国，基本面上占优；2.美国货币政策转向无底线宽松，中国货币政策稳健，导致中美利差显著拉大，处于历史高位；3.经常账户顺差规模和资本项下北向资金的流入超市场预期，从结售汇供需角度国际收支改善支撑人民币汇率。</w:t>
      </w:r>
    </w:p>
    <w:p>
      <w:pPr>
        <w:pStyle w:val="7"/>
        <w:keepNext w:val="0"/>
        <w:keepLines w:val="0"/>
        <w:pageBreakBefore w:val="0"/>
        <w:shd w:val="clear" w:color="auto" w:fill="FFFFFF"/>
        <w:kinsoku/>
        <w:wordWrap/>
        <w:overflowPunct/>
        <w:topLinePunct w:val="0"/>
        <w:autoSpaceDE/>
        <w:autoSpaceDN/>
        <w:bidi w:val="0"/>
        <w:adjustRightInd/>
        <w:snapToGrid/>
        <w:spacing w:beforeAutospacing="0" w:afterAutospacing="0" w:line="400" w:lineRule="exact"/>
        <w:ind w:firstLine="512" w:firstLineChars="200"/>
        <w:textAlignment w:val="auto"/>
        <w:outlineLvl w:val="9"/>
        <w:rPr>
          <w:rFonts w:asciiTheme="minorEastAsia" w:hAnsiTheme="minorEastAsia"/>
          <w:color w:val="000000" w:themeColor="text1"/>
          <w:spacing w:val="8"/>
          <w:szCs w:val="24"/>
        </w:rPr>
      </w:pPr>
      <w:r>
        <w:rPr>
          <w:rFonts w:hint="eastAsia" w:asciiTheme="minorEastAsia" w:hAnsiTheme="minorEastAsia"/>
          <w:color w:val="000000" w:themeColor="text1"/>
          <w:spacing w:val="8"/>
          <w:szCs w:val="24"/>
        </w:rPr>
        <w:t>她分析了先行指标PMI持续回暖和疫情下中国的出口跑赢了全球的驱动力因素。总的来看，防疫物资+科技产品+传统物资构成了支撑中国出口的三驾马车。下阶段，RCEP和中欧投资协定谈判落地，大大提升成员国间的贸易自由度和经贸活跃度，有利于增强中国外贸韧性，中长期对人民币汇率形成支撑。</w:t>
      </w:r>
    </w:p>
    <w:p>
      <w:pPr>
        <w:pStyle w:val="7"/>
        <w:keepNext w:val="0"/>
        <w:keepLines w:val="0"/>
        <w:pageBreakBefore w:val="0"/>
        <w:shd w:val="clear" w:color="auto" w:fill="FFFFFF"/>
        <w:kinsoku/>
        <w:wordWrap/>
        <w:overflowPunct/>
        <w:topLinePunct w:val="0"/>
        <w:autoSpaceDE/>
        <w:autoSpaceDN/>
        <w:bidi w:val="0"/>
        <w:adjustRightInd/>
        <w:snapToGrid/>
        <w:spacing w:beforeAutospacing="0" w:afterAutospacing="0" w:line="400" w:lineRule="exact"/>
        <w:ind w:firstLine="512" w:firstLineChars="200"/>
        <w:textAlignment w:val="auto"/>
        <w:outlineLvl w:val="9"/>
        <w:rPr>
          <w:rFonts w:asciiTheme="minorEastAsia" w:hAnsiTheme="minorEastAsia"/>
          <w:color w:val="000000" w:themeColor="text1"/>
          <w:spacing w:val="8"/>
          <w:szCs w:val="24"/>
        </w:rPr>
      </w:pPr>
      <w:r>
        <w:rPr>
          <w:rFonts w:hint="eastAsia" w:asciiTheme="minorEastAsia" w:hAnsiTheme="minorEastAsia"/>
          <w:color w:val="000000" w:themeColor="text1"/>
          <w:spacing w:val="8"/>
          <w:szCs w:val="24"/>
        </w:rPr>
        <w:t>赵小庆提出了目前企业外币存款持续攀升，要关注政策动向。她指出，外汇市场的逆周期管理是十分重要的，同时关注基本面变化，需防范中美利差缩窄的冲击。此外，对欧美经济及政策后市展望也做了分析：短期内，脱欧对英欧的经济影响尚未显现，市场交易主题以风险情绪的释放为主，欧元、英镑均上涨，美元承压。欧元区随着防疫措施延长，欧央行如开启新一轮宽松以对冲疫情和欧元升值的负面影响，形成欧元回落、美元反弹的格局。</w:t>
      </w:r>
    </w:p>
    <w:p>
      <w:pPr>
        <w:pStyle w:val="7"/>
        <w:keepNext w:val="0"/>
        <w:keepLines w:val="0"/>
        <w:pageBreakBefore w:val="0"/>
        <w:shd w:val="clear" w:color="auto" w:fill="FFFFFF"/>
        <w:kinsoku/>
        <w:wordWrap/>
        <w:overflowPunct/>
        <w:topLinePunct w:val="0"/>
        <w:autoSpaceDE/>
        <w:autoSpaceDN/>
        <w:bidi w:val="0"/>
        <w:adjustRightInd/>
        <w:snapToGrid/>
        <w:spacing w:beforeAutospacing="0" w:afterAutospacing="0" w:line="400" w:lineRule="exact"/>
        <w:ind w:firstLine="512" w:firstLineChars="200"/>
        <w:textAlignment w:val="auto"/>
        <w:outlineLvl w:val="9"/>
        <w:rPr>
          <w:rFonts w:asciiTheme="minorEastAsia" w:hAnsiTheme="minorEastAsia"/>
          <w:color w:val="000000" w:themeColor="text1"/>
          <w:spacing w:val="8"/>
          <w:szCs w:val="24"/>
        </w:rPr>
      </w:pPr>
      <w:r>
        <w:rPr>
          <w:rFonts w:hint="eastAsia" w:asciiTheme="minorEastAsia" w:hAnsiTheme="minorEastAsia"/>
          <w:color w:val="000000" w:themeColor="text1"/>
          <w:spacing w:val="8"/>
          <w:szCs w:val="24"/>
        </w:rPr>
        <w:t>赵小庆提出未来影响市场走势的第二个焦点是美国新总统上任后的对华政策。他指出，拜登当选基本尘埃落定，总体来看利多人民币，但如果拜登上台后对中国的打压措施超预期，人民币存在回调走贬的可能，需要警惕预期反转的风险。从基本面来看，维持美元趋势走低的判断不变。受到疫情及经济周期、中美货币政策、国际收支等角度看，人民币虽然有央行调节风险准备金、跨境融资宏观审慎调节参数等逆周期管理政策的出台，但仍有继续升值的动力。</w:t>
      </w:r>
    </w:p>
    <w:p>
      <w:pPr>
        <w:pStyle w:val="7"/>
        <w:keepNext w:val="0"/>
        <w:keepLines w:val="0"/>
        <w:pageBreakBefore w:val="0"/>
        <w:shd w:val="clear" w:color="auto" w:fill="FFFFFF"/>
        <w:kinsoku/>
        <w:wordWrap/>
        <w:overflowPunct/>
        <w:topLinePunct w:val="0"/>
        <w:autoSpaceDE/>
        <w:autoSpaceDN/>
        <w:bidi w:val="0"/>
        <w:adjustRightInd/>
        <w:snapToGrid/>
        <w:spacing w:beforeAutospacing="0" w:afterAutospacing="0" w:line="400" w:lineRule="exact"/>
        <w:ind w:firstLine="512" w:firstLineChars="200"/>
        <w:textAlignment w:val="auto"/>
        <w:outlineLvl w:val="9"/>
        <w:rPr>
          <w:rFonts w:asciiTheme="minorEastAsia" w:hAnsiTheme="minorEastAsia"/>
          <w:color w:val="000000" w:themeColor="text1"/>
          <w:spacing w:val="8"/>
          <w:szCs w:val="24"/>
        </w:rPr>
      </w:pPr>
      <w:r>
        <w:rPr>
          <w:rFonts w:hint="eastAsia" w:asciiTheme="minorEastAsia" w:hAnsiTheme="minorEastAsia"/>
          <w:color w:val="000000" w:themeColor="text1"/>
          <w:spacing w:val="8"/>
          <w:szCs w:val="24"/>
        </w:rPr>
        <w:t>最后赵小庆从3个角度入手，提出了客户端汇率避险策。首先，指出在汇率的双向波动常态化的当下，进出口企业要树立起财务中性的套期保值理念，避免投资赌博的心态，做好汇率风险的实需敞口管理，保障生产经营利润的稳定性。</w:t>
      </w:r>
    </w:p>
    <w:p>
      <w:pPr>
        <w:pStyle w:val="7"/>
        <w:keepNext w:val="0"/>
        <w:keepLines w:val="0"/>
        <w:pageBreakBefore w:val="0"/>
        <w:shd w:val="clear" w:color="auto" w:fill="FFFFFF"/>
        <w:kinsoku/>
        <w:wordWrap/>
        <w:overflowPunct/>
        <w:topLinePunct w:val="0"/>
        <w:autoSpaceDE/>
        <w:autoSpaceDN/>
        <w:bidi w:val="0"/>
        <w:adjustRightInd/>
        <w:snapToGrid/>
        <w:spacing w:beforeAutospacing="0" w:afterAutospacing="0" w:line="400" w:lineRule="exact"/>
        <w:ind w:firstLine="512" w:firstLineChars="200"/>
        <w:textAlignment w:val="auto"/>
        <w:outlineLvl w:val="9"/>
        <w:rPr>
          <w:rFonts w:asciiTheme="minorEastAsia" w:hAnsiTheme="minorEastAsia"/>
          <w:color w:val="000000" w:themeColor="text1"/>
          <w:spacing w:val="8"/>
          <w:szCs w:val="24"/>
        </w:rPr>
      </w:pPr>
      <w:r>
        <w:rPr>
          <w:rFonts w:hint="eastAsia" w:asciiTheme="minorEastAsia" w:hAnsiTheme="minorEastAsia"/>
          <w:color w:val="000000" w:themeColor="text1"/>
          <w:spacing w:val="8"/>
          <w:szCs w:val="24"/>
        </w:rPr>
        <w:t>赵小庆介绍了宁波银行丰富的避险产品体系，针对客户不同的实际情况和需求，匹配不同的产品策略。比如，对未来的收汇进行汇率风险管理，可以操作远期宝产品，锁定长期限汇率进行底仓管理，期间可以随时提前交割，企业进行择优结汇；对未来走势存在观望的客户，可以操作汇率保险，进可攻退可守；针对有留存美元需求的客户，可操作货币互换，在解决企业当下流动性需求的同时，在业务存续期间择时做好远期汇率的锁定，形成业务闭环。</w:t>
      </w:r>
    </w:p>
    <w:p>
      <w:pPr>
        <w:pStyle w:val="7"/>
        <w:keepNext w:val="0"/>
        <w:keepLines w:val="0"/>
        <w:pageBreakBefore w:val="0"/>
        <w:shd w:val="clear" w:color="auto" w:fill="FFFFFF"/>
        <w:kinsoku/>
        <w:wordWrap/>
        <w:overflowPunct/>
        <w:topLinePunct w:val="0"/>
        <w:autoSpaceDE/>
        <w:autoSpaceDN/>
        <w:bidi w:val="0"/>
        <w:adjustRightInd/>
        <w:snapToGrid/>
        <w:spacing w:beforeAutospacing="0" w:afterAutospacing="0" w:line="400" w:lineRule="exact"/>
        <w:ind w:firstLine="512" w:firstLineChars="200"/>
        <w:textAlignment w:val="auto"/>
        <w:outlineLvl w:val="9"/>
        <w:rPr>
          <w:rFonts w:asciiTheme="minorEastAsia" w:hAnsiTheme="minorEastAsia"/>
          <w:color w:val="000000" w:themeColor="text1"/>
          <w:spacing w:val="8"/>
          <w:szCs w:val="24"/>
        </w:rPr>
      </w:pPr>
      <w:r>
        <w:rPr>
          <w:rFonts w:hint="eastAsia" w:asciiTheme="minorEastAsia" w:hAnsiTheme="minorEastAsia"/>
          <w:color w:val="000000" w:themeColor="text1"/>
          <w:spacing w:val="8"/>
          <w:szCs w:val="24"/>
        </w:rPr>
        <w:t>2015年811以来，人民币汇率波动不断扩大，从近几年来看，年波动幅度达到了近10%。在对冲方式上，赵小庆鼓励企业多应用金融科技手段，借助银行先进的系统，做好汇率风险的精细化管理。宁波银行外汇金管家系统，是客户端一站式的“外汇交易”和“贸易结算”平台，自2018年底首次发布以来，依靠金融科技创新手段，各项功能不断上新，在2020年疫情期间，不间断为2万多家进出口企业提供全流程、全功能、零接触服务。针对外汇交易，客户可通过该系统，进行点击成交、多日挂单、夜盘交易，为交易保驾护航。2021版外汇金管家，进一步打破了传统交易功能的建设思路，以“进出口企业全生命周期”为中心，围绕进出口企业“贸易结算、订单管理、交易管理”的三大生命周期推出了系列新功能，帮助企业更好地解决生产经营中的痛点。</w:t>
      </w:r>
    </w:p>
    <w:p>
      <w:pPr>
        <w:pStyle w:val="7"/>
        <w:keepNext w:val="0"/>
        <w:keepLines w:val="0"/>
        <w:pageBreakBefore w:val="0"/>
        <w:shd w:val="clear" w:color="auto" w:fill="FFFFFF"/>
        <w:kinsoku/>
        <w:wordWrap/>
        <w:overflowPunct/>
        <w:topLinePunct w:val="0"/>
        <w:autoSpaceDE/>
        <w:autoSpaceDN/>
        <w:bidi w:val="0"/>
        <w:adjustRightInd/>
        <w:snapToGrid/>
        <w:spacing w:beforeAutospacing="0" w:afterAutospacing="0" w:line="400" w:lineRule="exact"/>
        <w:ind w:firstLine="512" w:firstLineChars="200"/>
        <w:textAlignment w:val="auto"/>
        <w:outlineLvl w:val="9"/>
        <w:rPr>
          <w:rFonts w:asciiTheme="minorEastAsia" w:hAnsiTheme="minorEastAsia"/>
          <w:color w:val="000000" w:themeColor="text1"/>
          <w:spacing w:val="8"/>
          <w:szCs w:val="24"/>
        </w:rPr>
      </w:pPr>
      <w:r>
        <w:rPr>
          <w:rFonts w:hint="eastAsia" w:asciiTheme="minorEastAsia" w:hAnsiTheme="minorEastAsia"/>
          <w:color w:val="000000" w:themeColor="text1"/>
          <w:spacing w:val="8"/>
          <w:szCs w:val="24"/>
        </w:rPr>
        <w:t>此次培训还邀请了宁波市文化金融服务中心有限公司投资部干培丰经理对甬贸贷做了详细的介绍。</w:t>
      </w:r>
    </w:p>
    <w:p>
      <w:pPr>
        <w:pStyle w:val="7"/>
        <w:keepNext w:val="0"/>
        <w:keepLines w:val="0"/>
        <w:pageBreakBefore w:val="0"/>
        <w:shd w:val="clear" w:color="auto" w:fill="FFFFFF"/>
        <w:kinsoku/>
        <w:wordWrap/>
        <w:overflowPunct/>
        <w:topLinePunct w:val="0"/>
        <w:autoSpaceDE/>
        <w:autoSpaceDN/>
        <w:bidi w:val="0"/>
        <w:adjustRightInd/>
        <w:snapToGrid/>
        <w:spacing w:beforeAutospacing="0" w:afterAutospacing="0" w:line="400" w:lineRule="exact"/>
        <w:ind w:firstLine="512" w:firstLineChars="200"/>
        <w:textAlignment w:val="auto"/>
        <w:outlineLvl w:val="9"/>
        <w:rPr>
          <w:rFonts w:asciiTheme="minorEastAsia" w:hAnsiTheme="minorEastAsia"/>
          <w:color w:val="000000" w:themeColor="text1"/>
          <w:spacing w:val="8"/>
          <w:szCs w:val="24"/>
        </w:rPr>
      </w:pPr>
      <w:r>
        <w:rPr>
          <w:rFonts w:hint="eastAsia" w:asciiTheme="minorEastAsia" w:hAnsiTheme="minorEastAsia"/>
          <w:color w:val="000000" w:themeColor="text1"/>
          <w:spacing w:val="8"/>
          <w:szCs w:val="24"/>
        </w:rPr>
        <w:t>为深入贯彻落实《中共中央国务院关于推进贸易高质量发展的指导意见》、《宁波市人民政府办公厅关于支持外贸企业渡难关稳订单拓市场的若干意见》（甬政办发〔2020〕12号）等精神，稳住我市外贸发展基本盘，着力缓解中小微外贸企业融资难、融资贵问题，促进外贸转型升级，宁波市商务局和宁波市财政局制定“甬贸贷”融资业务。</w:t>
      </w:r>
    </w:p>
    <w:p>
      <w:pPr>
        <w:pStyle w:val="7"/>
        <w:keepNext w:val="0"/>
        <w:keepLines w:val="0"/>
        <w:pageBreakBefore w:val="0"/>
        <w:shd w:val="clear" w:color="auto" w:fill="FFFFFF"/>
        <w:kinsoku/>
        <w:wordWrap/>
        <w:overflowPunct/>
        <w:topLinePunct w:val="0"/>
        <w:autoSpaceDE/>
        <w:autoSpaceDN/>
        <w:bidi w:val="0"/>
        <w:adjustRightInd/>
        <w:snapToGrid/>
        <w:spacing w:beforeAutospacing="0" w:afterAutospacing="0" w:line="400" w:lineRule="exact"/>
        <w:ind w:firstLine="512" w:firstLineChars="200"/>
        <w:textAlignment w:val="auto"/>
        <w:outlineLvl w:val="9"/>
        <w:rPr>
          <w:rFonts w:asciiTheme="minorEastAsia" w:hAnsiTheme="minorEastAsia"/>
          <w:color w:val="000000" w:themeColor="text1"/>
          <w:spacing w:val="8"/>
        </w:rPr>
      </w:pPr>
      <w:r>
        <w:rPr>
          <w:rFonts w:hint="eastAsia" w:asciiTheme="minorEastAsia" w:hAnsiTheme="minorEastAsia"/>
          <w:color w:val="000000" w:themeColor="text1"/>
          <w:spacing w:val="8"/>
          <w:szCs w:val="24"/>
        </w:rPr>
        <w:t>“甬贸贷”融资业务是以财政资金撬动金融杠杆，通过财政提供风险补助资金、保险公司提供短期出口信用保险、保险公司和担保公司提供贷款保证保险或担保等手段，调动银行贷款积极性，帮助我市中小微外贸企业拓宽融资渠道、降低融资成本。“甬贸贷”不以营利为目的，在加强风险管控的前提下，可承担合理损失，最大限度放大财政资金效用。</w:t>
      </w:r>
    </w:p>
    <w:p>
      <w:pPr>
        <w:pStyle w:val="7"/>
        <w:keepNext w:val="0"/>
        <w:keepLines w:val="0"/>
        <w:pageBreakBefore w:val="0"/>
        <w:shd w:val="clear" w:color="auto" w:fill="FFFFFF"/>
        <w:kinsoku/>
        <w:wordWrap/>
        <w:overflowPunct/>
        <w:topLinePunct w:val="0"/>
        <w:autoSpaceDE/>
        <w:autoSpaceDN/>
        <w:bidi w:val="0"/>
        <w:adjustRightInd/>
        <w:snapToGrid/>
        <w:spacing w:beforeAutospacing="0" w:afterAutospacing="0" w:line="400" w:lineRule="exact"/>
        <w:ind w:firstLine="512" w:firstLineChars="200"/>
        <w:textAlignment w:val="auto"/>
        <w:outlineLvl w:val="9"/>
        <w:rPr>
          <w:rFonts w:asciiTheme="minorEastAsia" w:hAnsiTheme="minorEastAsia"/>
          <w:color w:val="000000" w:themeColor="text1"/>
          <w:spacing w:val="8"/>
          <w:szCs w:val="24"/>
        </w:rPr>
      </w:pPr>
      <w:r>
        <w:rPr>
          <w:rFonts w:hint="eastAsia" w:asciiTheme="minorEastAsia" w:hAnsiTheme="minorEastAsia"/>
          <w:color w:val="000000" w:themeColor="text1"/>
          <w:spacing w:val="8"/>
          <w:szCs w:val="24"/>
        </w:rPr>
        <w:t>“甬贸贷”融资业务于2019年12月26日启动，试运行期为一年，后续每轮运行期限为三年。</w:t>
      </w:r>
    </w:p>
    <w:p>
      <w:pPr>
        <w:pStyle w:val="7"/>
        <w:keepNext w:val="0"/>
        <w:keepLines w:val="0"/>
        <w:pageBreakBefore w:val="0"/>
        <w:shd w:val="clear" w:color="auto" w:fill="FFFFFF"/>
        <w:kinsoku/>
        <w:wordWrap/>
        <w:overflowPunct/>
        <w:topLinePunct w:val="0"/>
        <w:autoSpaceDE/>
        <w:autoSpaceDN/>
        <w:bidi w:val="0"/>
        <w:adjustRightInd/>
        <w:snapToGrid/>
        <w:spacing w:beforeAutospacing="0" w:afterAutospacing="0" w:line="400" w:lineRule="exact"/>
        <w:ind w:firstLine="512" w:firstLineChars="200"/>
        <w:textAlignment w:val="auto"/>
        <w:outlineLvl w:val="9"/>
        <w:rPr>
          <w:rFonts w:asciiTheme="minorEastAsia" w:hAnsiTheme="minorEastAsia"/>
          <w:color w:val="000000" w:themeColor="text1"/>
          <w:spacing w:val="8"/>
          <w:szCs w:val="24"/>
        </w:rPr>
      </w:pPr>
      <w:r>
        <w:rPr>
          <w:rFonts w:hint="eastAsia" w:asciiTheme="minorEastAsia" w:hAnsiTheme="minorEastAsia"/>
          <w:color w:val="000000" w:themeColor="text1"/>
          <w:spacing w:val="8"/>
          <w:szCs w:val="24"/>
        </w:rPr>
        <w:t>干培丰详细地讲述了“甬贸贷”融资流程：企业准入条件、银行准入条件、资金托管机构职能、融资流程、企业注册、企业选择融资产品类型（信用保险融资、信用保证融资和信用融资，企业只能选择其中一项）和提交融资申请。</w:t>
      </w:r>
    </w:p>
    <w:p>
      <w:pPr>
        <w:pStyle w:val="7"/>
        <w:keepNext w:val="0"/>
        <w:keepLines w:val="0"/>
        <w:pageBreakBefore w:val="0"/>
        <w:shd w:val="clear" w:color="auto" w:fill="FFFFFF"/>
        <w:kinsoku/>
        <w:wordWrap/>
        <w:overflowPunct/>
        <w:topLinePunct w:val="0"/>
        <w:autoSpaceDE/>
        <w:autoSpaceDN/>
        <w:bidi w:val="0"/>
        <w:adjustRightInd/>
        <w:snapToGrid/>
        <w:spacing w:beforeAutospacing="0" w:afterAutospacing="0" w:line="400" w:lineRule="exact"/>
        <w:ind w:firstLine="512" w:firstLineChars="200"/>
        <w:textAlignment w:val="auto"/>
        <w:outlineLvl w:val="9"/>
        <w:rPr>
          <w:rFonts w:asciiTheme="minorEastAsia" w:hAnsiTheme="minorEastAsia"/>
          <w:color w:val="000000" w:themeColor="text1"/>
          <w:spacing w:val="8"/>
          <w:szCs w:val="24"/>
        </w:rPr>
      </w:pPr>
      <w:r>
        <w:rPr>
          <w:rFonts w:hint="eastAsia" w:asciiTheme="minorEastAsia" w:hAnsiTheme="minorEastAsia"/>
          <w:color w:val="000000" w:themeColor="text1"/>
          <w:spacing w:val="8"/>
          <w:szCs w:val="24"/>
        </w:rPr>
        <w:t>此次培训取得了圆满成功。会后企业纷纷表示此次培训收获颇多，学习了如何有效规避汇率风险、降低经营成本，为他们在解决企业资金短缺、融资难、融资贵问题方面提供了明确的方向。</w:t>
      </w:r>
    </w:p>
    <w:p>
      <w:pPr>
        <w:pStyle w:val="7"/>
        <w:keepNext w:val="0"/>
        <w:keepLines w:val="0"/>
        <w:pageBreakBefore w:val="0"/>
        <w:shd w:val="clear" w:color="auto" w:fill="FFFFFF"/>
        <w:kinsoku/>
        <w:wordWrap/>
        <w:overflowPunct/>
        <w:topLinePunct w:val="0"/>
        <w:autoSpaceDE/>
        <w:autoSpaceDN/>
        <w:bidi w:val="0"/>
        <w:adjustRightInd/>
        <w:snapToGrid/>
        <w:spacing w:beforeAutospacing="0" w:afterAutospacing="0" w:line="400" w:lineRule="exact"/>
        <w:ind w:firstLine="512" w:firstLineChars="200"/>
        <w:textAlignment w:val="auto"/>
        <w:outlineLvl w:val="9"/>
        <w:rPr>
          <w:rFonts w:asciiTheme="minorEastAsia" w:hAnsiTheme="minorEastAsia"/>
          <w:color w:val="000000" w:themeColor="text1"/>
          <w:spacing w:val="8"/>
          <w:szCs w:val="24"/>
        </w:rPr>
      </w:pPr>
      <w:r>
        <w:rPr>
          <w:rFonts w:hint="eastAsia" w:asciiTheme="minorEastAsia" w:hAnsiTheme="minorEastAsia"/>
          <w:color w:val="000000" w:themeColor="text1"/>
          <w:spacing w:val="8"/>
          <w:szCs w:val="24"/>
        </w:rPr>
        <w:t>我协会也表示将会引入更多有效的培训主题带给各企业，更好地发挥协会作为“政企桥梁”的纽带作用，为2021年宁波外贸的发展贡献一份力量。</w:t>
      </w:r>
    </w:p>
    <w:p>
      <w:pPr>
        <w:keepNext w:val="0"/>
        <w:keepLines w:val="0"/>
        <w:pageBreakBefore w:val="0"/>
        <w:kinsoku/>
        <w:wordWrap/>
        <w:overflowPunct/>
        <w:topLinePunct w:val="0"/>
        <w:autoSpaceDE/>
        <w:autoSpaceDN/>
        <w:bidi w:val="0"/>
        <w:adjustRightInd/>
        <w:snapToGrid/>
        <w:spacing w:line="400" w:lineRule="exact"/>
        <w:jc w:val="left"/>
        <w:textAlignment w:val="auto"/>
        <w:outlineLvl w:val="9"/>
        <w:rPr>
          <w:rFonts w:ascii="华文彩云" w:hAnsi="宋体" w:eastAsia="华文彩云"/>
          <w:color w:val="000000" w:themeColor="text1"/>
          <w:sz w:val="36"/>
          <w:szCs w:val="36"/>
        </w:rPr>
        <w:sectPr>
          <w:type w:val="continuous"/>
          <w:pgSz w:w="11906" w:h="16838"/>
          <w:pgMar w:top="1440" w:right="1800" w:bottom="1440" w:left="1800" w:header="851" w:footer="992" w:gutter="0"/>
          <w:cols w:space="425" w:num="2"/>
          <w:docGrid w:type="lines" w:linePitch="312" w:charSpace="0"/>
        </w:sectPr>
      </w:pPr>
    </w:p>
    <w:p>
      <w:pPr>
        <w:keepNext w:val="0"/>
        <w:keepLines w:val="0"/>
        <w:pageBreakBefore w:val="0"/>
        <w:kinsoku/>
        <w:wordWrap/>
        <w:overflowPunct/>
        <w:topLinePunct w:val="0"/>
        <w:autoSpaceDE/>
        <w:autoSpaceDN/>
        <w:bidi w:val="0"/>
        <w:adjustRightInd/>
        <w:snapToGrid/>
        <w:spacing w:line="400" w:lineRule="exact"/>
        <w:jc w:val="left"/>
        <w:textAlignment w:val="auto"/>
        <w:outlineLvl w:val="9"/>
        <w:rPr>
          <w:rFonts w:ascii="华文彩云" w:hAnsi="宋体" w:eastAsia="华文彩云"/>
          <w:color w:val="000000" w:themeColor="text1"/>
          <w:sz w:val="36"/>
          <w:szCs w:val="36"/>
        </w:rPr>
      </w:pPr>
    </w:p>
    <w:p>
      <w:pPr>
        <w:keepNext w:val="0"/>
        <w:keepLines w:val="0"/>
        <w:pageBreakBefore w:val="0"/>
        <w:kinsoku/>
        <w:wordWrap/>
        <w:overflowPunct/>
        <w:topLinePunct w:val="0"/>
        <w:autoSpaceDE/>
        <w:autoSpaceDN/>
        <w:bidi w:val="0"/>
        <w:adjustRightInd/>
        <w:snapToGrid/>
        <w:spacing w:line="400" w:lineRule="exact"/>
        <w:jc w:val="left"/>
        <w:textAlignment w:val="auto"/>
        <w:outlineLvl w:val="9"/>
        <w:rPr>
          <w:rFonts w:ascii="华文彩云" w:hAnsi="宋体" w:eastAsia="华文彩云"/>
          <w:color w:val="000000" w:themeColor="text1"/>
          <w:sz w:val="36"/>
          <w:szCs w:val="36"/>
        </w:rPr>
      </w:pPr>
    </w:p>
    <w:p>
      <w:pPr>
        <w:keepNext w:val="0"/>
        <w:keepLines w:val="0"/>
        <w:pageBreakBefore w:val="0"/>
        <w:kinsoku/>
        <w:wordWrap/>
        <w:overflowPunct/>
        <w:topLinePunct w:val="0"/>
        <w:autoSpaceDE/>
        <w:autoSpaceDN/>
        <w:bidi w:val="0"/>
        <w:adjustRightInd/>
        <w:snapToGrid/>
        <w:spacing w:line="400" w:lineRule="exact"/>
        <w:jc w:val="left"/>
        <w:textAlignment w:val="auto"/>
        <w:outlineLvl w:val="9"/>
        <w:rPr>
          <w:rFonts w:ascii="华文彩云" w:hAnsi="宋体" w:eastAsia="华文彩云"/>
          <w:color w:val="000000" w:themeColor="text1"/>
          <w:sz w:val="36"/>
          <w:szCs w:val="36"/>
        </w:rPr>
      </w:pPr>
    </w:p>
    <w:p>
      <w:pPr>
        <w:keepNext w:val="0"/>
        <w:keepLines w:val="0"/>
        <w:pageBreakBefore w:val="0"/>
        <w:widowControl/>
        <w:shd w:val="clear" w:color="auto" w:fill="FFFFFF"/>
        <w:kinsoku/>
        <w:wordWrap/>
        <w:overflowPunct/>
        <w:topLinePunct w:val="0"/>
        <w:autoSpaceDE/>
        <w:autoSpaceDN/>
        <w:bidi w:val="0"/>
        <w:adjustRightInd/>
        <w:snapToGrid/>
        <w:spacing w:line="420" w:lineRule="exact"/>
        <w:jc w:val="center"/>
        <w:textAlignment w:val="auto"/>
        <w:outlineLvl w:val="1"/>
        <w:rPr>
          <w:rFonts w:hint="eastAsia" w:ascii="楷体_GB2312" w:hAnsi="微软雅黑" w:eastAsia="楷体_GB2312" w:cs="宋体"/>
          <w:b/>
          <w:bCs/>
          <w:color w:val="000000" w:themeColor="text1"/>
          <w:spacing w:val="8"/>
          <w:kern w:val="0"/>
          <w:sz w:val="36"/>
          <w:szCs w:val="36"/>
          <w:lang w:val="en-US" w:eastAsia="zh-CN"/>
        </w:rPr>
      </w:pPr>
      <w:r>
        <w:rPr>
          <w:rFonts w:hint="eastAsia" w:ascii="楷体_GB2312" w:hAnsi="微软雅黑" w:eastAsia="楷体_GB2312" w:cs="宋体"/>
          <w:b/>
          <w:bCs/>
          <w:color w:val="000000" w:themeColor="text1"/>
          <w:spacing w:val="8"/>
          <w:kern w:val="0"/>
          <w:sz w:val="36"/>
          <w:szCs w:val="36"/>
        </w:rPr>
        <w:t>协会联合</w:t>
      </w:r>
      <w:r>
        <w:rPr>
          <w:rFonts w:hint="eastAsia" w:ascii="楷体_GB2312" w:hAnsi="微软雅黑" w:eastAsia="楷体_GB2312" w:cs="宋体"/>
          <w:b/>
          <w:bCs/>
          <w:color w:val="000000" w:themeColor="text1"/>
          <w:spacing w:val="8"/>
          <w:kern w:val="0"/>
          <w:sz w:val="36"/>
          <w:szCs w:val="36"/>
          <w:lang w:val="en-US" w:eastAsia="zh-CN"/>
        </w:rPr>
        <w:t>中国银行宁波市分行和中信保宁波分公司</w:t>
      </w:r>
    </w:p>
    <w:p>
      <w:pPr>
        <w:keepNext w:val="0"/>
        <w:keepLines w:val="0"/>
        <w:pageBreakBefore w:val="0"/>
        <w:widowControl/>
        <w:shd w:val="clear" w:color="auto" w:fill="FFFFFF"/>
        <w:kinsoku/>
        <w:wordWrap/>
        <w:overflowPunct/>
        <w:topLinePunct w:val="0"/>
        <w:autoSpaceDE/>
        <w:autoSpaceDN/>
        <w:bidi w:val="0"/>
        <w:adjustRightInd/>
        <w:snapToGrid/>
        <w:spacing w:line="420" w:lineRule="exact"/>
        <w:jc w:val="center"/>
        <w:textAlignment w:val="auto"/>
        <w:outlineLvl w:val="1"/>
        <w:rPr>
          <w:rFonts w:hint="eastAsia" w:ascii="楷体_GB2312" w:hAnsi="微软雅黑" w:eastAsia="楷体_GB2312" w:cs="宋体"/>
          <w:b/>
          <w:bCs/>
          <w:color w:val="000000" w:themeColor="text1"/>
          <w:spacing w:val="8"/>
          <w:kern w:val="0"/>
          <w:sz w:val="36"/>
          <w:szCs w:val="36"/>
          <w:lang w:val="en-US" w:eastAsia="zh-CN"/>
        </w:rPr>
      </w:pPr>
      <w:r>
        <w:rPr>
          <w:rFonts w:hint="eastAsia" w:ascii="楷体_GB2312" w:hAnsi="微软雅黑" w:eastAsia="楷体_GB2312" w:cs="宋体"/>
          <w:b/>
          <w:bCs/>
          <w:color w:val="000000" w:themeColor="text1"/>
          <w:spacing w:val="8"/>
          <w:kern w:val="0"/>
          <w:sz w:val="36"/>
          <w:szCs w:val="36"/>
          <w:lang w:val="en-US" w:eastAsia="zh-CN"/>
        </w:rPr>
        <w:t>举办</w:t>
      </w:r>
      <w:r>
        <w:rPr>
          <w:rFonts w:hint="eastAsia" w:ascii="楷体_GB2312" w:hAnsi="微软雅黑" w:eastAsia="楷体_GB2312" w:cs="宋体"/>
          <w:b/>
          <w:bCs/>
          <w:color w:val="000000" w:themeColor="text1"/>
          <w:spacing w:val="8"/>
          <w:kern w:val="0"/>
          <w:sz w:val="36"/>
          <w:szCs w:val="36"/>
        </w:rPr>
        <w:t>专题</w:t>
      </w:r>
      <w:r>
        <w:rPr>
          <w:rFonts w:hint="eastAsia" w:ascii="楷体_GB2312" w:hAnsi="微软雅黑" w:eastAsia="楷体_GB2312" w:cs="宋体"/>
          <w:b/>
          <w:bCs/>
          <w:color w:val="000000" w:themeColor="text1"/>
          <w:spacing w:val="8"/>
          <w:kern w:val="0"/>
          <w:sz w:val="36"/>
          <w:szCs w:val="36"/>
          <w:lang w:val="en-US" w:eastAsia="zh-CN"/>
        </w:rPr>
        <w:t>培训会</w:t>
      </w:r>
    </w:p>
    <w:p>
      <w:pPr>
        <w:keepNext w:val="0"/>
        <w:keepLines w:val="0"/>
        <w:pageBreakBefore w:val="0"/>
        <w:kinsoku/>
        <w:wordWrap/>
        <w:overflowPunct/>
        <w:topLinePunct w:val="0"/>
        <w:autoSpaceDE/>
        <w:autoSpaceDN/>
        <w:bidi w:val="0"/>
        <w:adjustRightInd/>
        <w:snapToGrid/>
        <w:spacing w:line="420" w:lineRule="exact"/>
        <w:ind w:firstLine="480" w:firstLineChars="200"/>
        <w:jc w:val="left"/>
        <w:textAlignment w:val="auto"/>
        <w:rPr>
          <w:rFonts w:asciiTheme="minorEastAsia" w:hAnsiTheme="minorEastAsia"/>
          <w:color w:val="000000" w:themeColor="text1"/>
          <w:sz w:val="24"/>
          <w:szCs w:val="24"/>
        </w:rPr>
      </w:pPr>
    </w:p>
    <w:p>
      <w:pPr>
        <w:keepNext w:val="0"/>
        <w:keepLines w:val="0"/>
        <w:pageBreakBefore w:val="0"/>
        <w:kinsoku/>
        <w:wordWrap/>
        <w:overflowPunct/>
        <w:topLinePunct w:val="0"/>
        <w:autoSpaceDE/>
        <w:autoSpaceDN/>
        <w:bidi w:val="0"/>
        <w:adjustRightInd/>
        <w:snapToGrid/>
        <w:spacing w:line="420" w:lineRule="exact"/>
        <w:ind w:firstLine="480" w:firstLineChars="200"/>
        <w:jc w:val="left"/>
        <w:textAlignment w:val="auto"/>
        <w:rPr>
          <w:rFonts w:hint="eastAsia" w:asciiTheme="minorEastAsia" w:hAnsiTheme="minorEastAsia"/>
          <w:color w:val="000000" w:themeColor="text1"/>
          <w:sz w:val="24"/>
          <w:szCs w:val="24"/>
        </w:rPr>
        <w:sectPr>
          <w:type w:val="continuous"/>
          <w:pgSz w:w="11906" w:h="16838"/>
          <w:pgMar w:top="1440" w:right="1800" w:bottom="1440" w:left="1800" w:header="851" w:footer="992" w:gutter="0"/>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outlineLvl w:val="9"/>
        <w:rPr>
          <w:rFonts w:hint="eastAsia" w:asciiTheme="minorEastAsia" w:hAnsiTheme="minorEastAsia"/>
          <w:color w:val="000000" w:themeColor="text1"/>
          <w:sz w:val="24"/>
          <w:szCs w:val="24"/>
        </w:rPr>
      </w:pPr>
      <w:r>
        <w:rPr>
          <w:rFonts w:hint="eastAsia" w:asciiTheme="minorEastAsia" w:hAnsiTheme="minorEastAsia"/>
          <w:color w:val="000000" w:themeColor="text1"/>
          <w:sz w:val="24"/>
          <w:szCs w:val="24"/>
        </w:rPr>
        <w:t>1月</w:t>
      </w:r>
      <w:r>
        <w:rPr>
          <w:rFonts w:hint="eastAsia" w:asciiTheme="minorEastAsia" w:hAnsiTheme="minorEastAsia"/>
          <w:color w:val="000000" w:themeColor="text1"/>
          <w:sz w:val="24"/>
          <w:szCs w:val="24"/>
          <w:lang w:val="en-US" w:eastAsia="zh-CN"/>
        </w:rPr>
        <w:t>21日下午，</w:t>
      </w:r>
      <w:r>
        <w:rPr>
          <w:rFonts w:hint="eastAsia" w:asciiTheme="minorEastAsia" w:hAnsiTheme="minorEastAsia"/>
          <w:color w:val="000000" w:themeColor="text1"/>
          <w:sz w:val="24"/>
          <w:szCs w:val="24"/>
        </w:rPr>
        <w:t>协会在市商务局指导下，联合</w:t>
      </w:r>
      <w:r>
        <w:rPr>
          <w:rFonts w:hint="eastAsia" w:asciiTheme="minorEastAsia" w:hAnsiTheme="minorEastAsia"/>
          <w:color w:val="000000" w:themeColor="text1"/>
          <w:sz w:val="24"/>
          <w:szCs w:val="24"/>
          <w:lang w:val="en-US" w:eastAsia="zh-CN"/>
        </w:rPr>
        <w:t>中国银行宁波市分行和中国信保宁波分公司</w:t>
      </w:r>
      <w:r>
        <w:rPr>
          <w:rFonts w:hint="eastAsia" w:asciiTheme="minorEastAsia" w:hAnsiTheme="minorEastAsia"/>
          <w:color w:val="000000" w:themeColor="text1"/>
          <w:sz w:val="24"/>
          <w:szCs w:val="24"/>
          <w:lang w:eastAsia="zh-CN"/>
        </w:rPr>
        <w:t>，</w:t>
      </w:r>
      <w:r>
        <w:rPr>
          <w:rFonts w:hint="eastAsia" w:asciiTheme="minorEastAsia" w:hAnsiTheme="minorEastAsia"/>
          <w:color w:val="000000" w:themeColor="text1"/>
          <w:sz w:val="24"/>
          <w:szCs w:val="24"/>
          <w:lang w:val="en-US" w:eastAsia="zh-CN"/>
        </w:rPr>
        <w:t>召开题为“2021年人民币汇率走势及RCEP信用保险”的年内第二场专题培训会，为引导和帮助企业结合近期市场动态完善汇率风险管理策略、合理运用汇率避险工具，进一步提升应对不确定性因素的能力，同时为我市外贸企业如何利用RCEP区域促进企业产业链和供应链的优化、如何利用信保体系为对外投资和进出口贸易保驾护航提供了新的解决途径。培训会通过线上线下相</w:t>
      </w:r>
      <w:r>
        <w:rPr>
          <w:rFonts w:hint="eastAsia" w:asciiTheme="minorEastAsia" w:hAnsiTheme="minorEastAsia"/>
          <w:color w:val="000000" w:themeColor="text1"/>
          <w:sz w:val="24"/>
          <w:szCs w:val="24"/>
        </w:rPr>
        <w:t>结合的培训模式进行，与企业开展交流分享。</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outlineLvl w:val="9"/>
        <w:rPr>
          <w:rFonts w:hint="eastAsia" w:asciiTheme="minorEastAsia" w:hAnsiTheme="minorEastAsia"/>
          <w:color w:val="000000" w:themeColor="text1"/>
          <w:sz w:val="24"/>
          <w:szCs w:val="24"/>
        </w:rPr>
      </w:pPr>
      <w:r>
        <w:rPr>
          <w:rFonts w:hint="eastAsia" w:asciiTheme="minorEastAsia" w:hAnsiTheme="minorEastAsia"/>
          <w:color w:val="000000" w:themeColor="text1"/>
          <w:sz w:val="24"/>
          <w:szCs w:val="24"/>
        </w:rPr>
        <w:t>市商务局对外贸易管理处</w:t>
      </w:r>
      <w:r>
        <w:rPr>
          <w:rFonts w:hint="eastAsia" w:asciiTheme="minorEastAsia" w:hAnsiTheme="minorEastAsia"/>
          <w:color w:val="000000" w:themeColor="text1"/>
          <w:sz w:val="24"/>
          <w:szCs w:val="24"/>
          <w:lang w:val="en-US" w:eastAsia="zh-CN"/>
        </w:rPr>
        <w:t>史姝菡副</w:t>
      </w:r>
      <w:r>
        <w:rPr>
          <w:rFonts w:hint="eastAsia" w:asciiTheme="minorEastAsia" w:hAnsiTheme="minorEastAsia"/>
          <w:color w:val="000000" w:themeColor="text1"/>
          <w:sz w:val="24"/>
          <w:szCs w:val="24"/>
        </w:rPr>
        <w:t>处长，</w:t>
      </w:r>
      <w:r>
        <w:rPr>
          <w:rFonts w:hint="eastAsia" w:asciiTheme="minorEastAsia" w:hAnsiTheme="minorEastAsia"/>
          <w:color w:val="000000" w:themeColor="text1"/>
          <w:sz w:val="24"/>
          <w:szCs w:val="24"/>
          <w:lang w:val="en-US" w:eastAsia="zh-CN"/>
        </w:rPr>
        <w:t>中国银行宁波市分行交易银行部王哲明总经理、尉敏华副总经理等领导</w:t>
      </w:r>
      <w:r>
        <w:rPr>
          <w:rFonts w:hint="eastAsia" w:asciiTheme="minorEastAsia" w:hAnsiTheme="minorEastAsia"/>
          <w:color w:val="000000" w:themeColor="text1"/>
          <w:sz w:val="24"/>
          <w:szCs w:val="24"/>
        </w:rPr>
        <w:t>以及数位企业代表参加了此次会议。会议由协会池俏瑜秘书长主持。</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outlineLvl w:val="9"/>
        <w:rPr>
          <w:rFonts w:hint="eastAsia" w:eastAsia="仿宋_GB2312" w:asciiTheme="minorEastAsia" w:hAnsiTheme="minorEastAsia"/>
          <w:color w:val="000000" w:themeColor="text1"/>
          <w:sz w:val="24"/>
          <w:szCs w:val="24"/>
          <w:lang w:val="en-US" w:eastAsia="zh-CN"/>
        </w:rPr>
      </w:pPr>
      <w:r>
        <w:rPr>
          <w:rFonts w:hint="eastAsia" w:asciiTheme="minorEastAsia" w:hAnsiTheme="minorEastAsia"/>
          <w:color w:val="000000" w:themeColor="text1"/>
          <w:sz w:val="24"/>
          <w:szCs w:val="24"/>
        </w:rPr>
        <w:t>市商务局对外贸易</w:t>
      </w:r>
      <w:r>
        <w:rPr>
          <w:rFonts w:hint="eastAsia" w:asciiTheme="minorEastAsia" w:hAnsiTheme="minorEastAsia"/>
          <w:color w:val="000000" w:themeColor="text1"/>
          <w:sz w:val="24"/>
          <w:szCs w:val="24"/>
          <w:lang w:val="en-US" w:eastAsia="zh-CN"/>
        </w:rPr>
        <w:t>管理处史姝菡副处长首先讲话。她指出，据海关初步统计，2020年全市外贸进出口总额9786.9亿元，比2019年同期（下同）增长6.7%，其中出口6407.0亿元，增长7.3%；进口3379.9亿元，增长5.6%，实现了逆势增长，增幅远高于全国平均水平，宁波广大外贸企业功不可没。当前，我市外贸企业正在加快转型升级的步伐，但在实际的经营中，多数企业仍面临着包括汇率风险、海外市场信用风险等在内的不少难题与困惑。</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outlineLvl w:val="9"/>
        <w:rPr>
          <w:rFonts w:hint="eastAsia" w:asciiTheme="minorEastAsia" w:hAnsiTheme="minorEastAsia"/>
          <w:color w:val="000000" w:themeColor="text1"/>
          <w:sz w:val="24"/>
          <w:szCs w:val="24"/>
          <w:lang w:val="en-US" w:eastAsia="zh-CN"/>
        </w:rPr>
      </w:pPr>
      <w:r>
        <w:rPr>
          <w:rFonts w:hint="eastAsia" w:asciiTheme="minorEastAsia" w:hAnsiTheme="minorEastAsia"/>
          <w:color w:val="000000" w:themeColor="text1"/>
          <w:sz w:val="24"/>
          <w:szCs w:val="24"/>
          <w:lang w:val="en-US" w:eastAsia="zh-CN"/>
        </w:rPr>
        <w:t>培训会特邀人民银行宁波中心支行金融政策讲师、中国银行总行中银大学受聘讲师、中国银行宁波市分行金融市场部业务主管冯波作“</w:t>
      </w:r>
      <w:r>
        <w:rPr>
          <w:rFonts w:hint="eastAsia" w:asciiTheme="minorEastAsia" w:hAnsiTheme="minorEastAsia"/>
          <w:color w:val="000000" w:themeColor="text1"/>
          <w:sz w:val="24"/>
          <w:szCs w:val="24"/>
        </w:rPr>
        <w:t>2021年人民币汇率走势前瞻</w:t>
      </w:r>
      <w:r>
        <w:rPr>
          <w:rFonts w:hint="eastAsia" w:asciiTheme="minorEastAsia" w:hAnsiTheme="minorEastAsia"/>
          <w:color w:val="000000" w:themeColor="text1"/>
          <w:sz w:val="24"/>
          <w:szCs w:val="24"/>
          <w:lang w:val="en-US" w:eastAsia="zh-CN"/>
        </w:rPr>
        <w:t>”专题讲座。冯波老师运用基本面分析法、技术指标分析法和历史图表预测法，结合各大机构的预测模型对人民币汇率波动区间作了预测，提请企业关注疫情控制的先进先出、经济短时间内启稳回升、人民币与美元的宽幅利差、疲弱美指协防助力和《区域全面经济伙伴关系协定》（</w:t>
      </w:r>
      <w:r>
        <w:rPr>
          <w:rFonts w:hint="default" w:asciiTheme="minorEastAsia" w:hAnsiTheme="minorEastAsia"/>
          <w:color w:val="000000" w:themeColor="text1"/>
          <w:sz w:val="24"/>
          <w:szCs w:val="24"/>
          <w:lang w:val="en-US" w:eastAsia="zh-CN"/>
        </w:rPr>
        <w:t>RCEP）</w:t>
      </w:r>
      <w:r>
        <w:rPr>
          <w:rFonts w:hint="eastAsia" w:asciiTheme="minorEastAsia" w:hAnsiTheme="minorEastAsia"/>
          <w:color w:val="000000" w:themeColor="text1"/>
          <w:sz w:val="24"/>
          <w:szCs w:val="24"/>
          <w:lang w:val="en-US" w:eastAsia="zh-CN"/>
        </w:rPr>
        <w:t>/《中欧自贸协定》对人民币汇率影响等市场观察着眼点。同时，他复盘了特朗普当政期的美指变化以鉴往知来，表示现行汇率制度下人民币汇率与美指的联系密不可分。</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outlineLvl w:val="9"/>
        <w:rPr>
          <w:rFonts w:hint="eastAsia" w:asciiTheme="minorEastAsia" w:hAnsiTheme="minorEastAsia"/>
          <w:color w:val="000000" w:themeColor="text1"/>
          <w:sz w:val="24"/>
          <w:szCs w:val="24"/>
          <w:lang w:val="en-US" w:eastAsia="zh-CN"/>
        </w:rPr>
      </w:pPr>
      <w:r>
        <w:rPr>
          <w:rFonts w:hint="eastAsia" w:asciiTheme="minorEastAsia" w:hAnsiTheme="minorEastAsia"/>
          <w:color w:val="000000" w:themeColor="text1"/>
          <w:sz w:val="24"/>
          <w:szCs w:val="24"/>
          <w:lang w:val="en-US" w:eastAsia="zh-CN"/>
        </w:rPr>
        <w:t>对于2021年人民币汇率运行路径猜想，冯波老师指出，由于今年是十四五开局之年，也是建党百年，经济复苏加快，GDP增长仍有优势；受益于外贸出口需求回暖和支出项目减少等因素，上半年出口增长依然有望维持高顺差；在全球流动性泛滥背景下，人民币资产具有比较优势，外资流入的势头不减，资本项目短期同样有望维持高顺差；目前,人民币在国际储备货币中占比仅为2%，与我国经济体量相比, 提升空间较大；虽然新冠疫苗开始在全球大范围投放，对其他经济体的相对优势短期内仍将得以维持。从整体上看，今年上半年维持人民币趋势性走强的内外部环境没有发生根本性改变，有利环境依然存在。而由于中美关系不确定性较大，拜登上台后对华政策仍不明朗，拜登提名的新任贸易代表戴琦是对华鹰派人物，贸易关系仍然面临考验；国内经济来看，汇率走强，利率较高，商品价格快速上升，加杠杆转向稳杠杆，宏观环境趋紧，经济增长面临考验；美指走势存在变数，若美国二季度以后经济复苏加快，则美元有上涨可能；随着投资国内股票、债券的资金规模不断增大，短期投机性跨境资本流动或将更为频繁，市场风险情绪对人民币汇率的短期冲击将进一步增强，下半年人民币汇率的不确定性会相对增加。</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outlineLvl w:val="9"/>
        <w:rPr>
          <w:rFonts w:hint="eastAsia" w:asciiTheme="minorEastAsia" w:hAnsiTheme="minorEastAsia"/>
          <w:sz w:val="24"/>
          <w:szCs w:val="24"/>
          <w:lang w:val="en-US" w:eastAsia="zh-CN"/>
        </w:rPr>
      </w:pPr>
      <w:r>
        <w:rPr>
          <w:rFonts w:hint="eastAsia" w:asciiTheme="minorEastAsia" w:hAnsiTheme="minorEastAsia"/>
          <w:color w:val="000000" w:themeColor="text1"/>
          <w:sz w:val="24"/>
          <w:szCs w:val="24"/>
          <w:lang w:val="en-US" w:eastAsia="zh-CN"/>
        </w:rPr>
        <w:t>冯波老师也从监管当局自去年10月以来出台的一系列有关政策和今年央行货币政策会议释放的信号、各经济体对待疫情的不同策略、拜登新政府的经济政策以及美国国内政治与地缘政治变化对投资者信心的干扰等方面分析对全球经济的影响。他认为，即便当前人民币升值</w:t>
      </w:r>
      <w:r>
        <w:rPr>
          <w:rFonts w:hint="eastAsia" w:asciiTheme="minorEastAsia" w:hAnsiTheme="minorEastAsia"/>
          <w:sz w:val="24"/>
          <w:szCs w:val="24"/>
          <w:lang w:val="en-US" w:eastAsia="zh-CN"/>
        </w:rPr>
        <w:t>步伐稳健，但由于国内国际的各方面原因，后市仍存在变数。</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outlineLvl w:val="9"/>
        <w:rPr>
          <w:rFonts w:hint="eastAsia" w:asciiTheme="minorEastAsia" w:hAnsiTheme="minorEastAsia"/>
          <w:sz w:val="24"/>
          <w:szCs w:val="24"/>
          <w:lang w:val="en-US" w:eastAsia="zh-CN"/>
        </w:rPr>
      </w:pPr>
      <w:r>
        <w:rPr>
          <w:rFonts w:hint="eastAsia" w:asciiTheme="minorEastAsia" w:hAnsiTheme="minorEastAsia"/>
          <w:sz w:val="24"/>
          <w:szCs w:val="24"/>
          <w:lang w:val="en-US" w:eastAsia="zh-CN"/>
        </w:rPr>
        <w:t>在企业汇率风险管理策略方面，冯波老师提请企业要正确认识金融市场，树立正确的保值理念——避险为先，并运用产品固化成本、减少损失，同时优化资产配置。最后，他也贴心地为出口企业和进口企业分别介绍了相关的配套产品。</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outlineLvl w:val="9"/>
        <w:rPr>
          <w:rFonts w:hint="eastAsia" w:asciiTheme="minorEastAsia" w:hAnsiTheme="minorEastAsia"/>
          <w:sz w:val="24"/>
          <w:szCs w:val="24"/>
          <w:lang w:val="en-US" w:eastAsia="zh-CN"/>
        </w:rPr>
      </w:pPr>
      <w:r>
        <w:rPr>
          <w:rFonts w:hint="eastAsia" w:asciiTheme="minorEastAsia" w:hAnsiTheme="minorEastAsia"/>
          <w:sz w:val="24"/>
          <w:szCs w:val="24"/>
        </w:rPr>
        <w:t>此次培训</w:t>
      </w:r>
      <w:r>
        <w:rPr>
          <w:rFonts w:hint="eastAsia" w:asciiTheme="minorEastAsia" w:hAnsiTheme="minorEastAsia"/>
          <w:sz w:val="24"/>
          <w:szCs w:val="24"/>
          <w:lang w:val="en-US" w:eastAsia="zh-CN"/>
        </w:rPr>
        <w:t>会</w:t>
      </w:r>
      <w:r>
        <w:rPr>
          <w:rFonts w:hint="eastAsia" w:asciiTheme="minorEastAsia" w:hAnsiTheme="minorEastAsia"/>
          <w:sz w:val="24"/>
          <w:szCs w:val="24"/>
        </w:rPr>
        <w:t>还邀请了</w:t>
      </w:r>
      <w:r>
        <w:rPr>
          <w:rFonts w:hint="eastAsia" w:asciiTheme="minorEastAsia" w:hAnsiTheme="minorEastAsia"/>
          <w:sz w:val="24"/>
          <w:szCs w:val="24"/>
          <w:lang w:val="en-US" w:eastAsia="zh-CN"/>
        </w:rPr>
        <w:t>中国信保宁波分公司业务一处二部负责人陈立峰</w:t>
      </w:r>
      <w:r>
        <w:rPr>
          <w:rFonts w:hint="eastAsia" w:asciiTheme="minorEastAsia" w:hAnsiTheme="minorEastAsia"/>
          <w:sz w:val="24"/>
          <w:szCs w:val="24"/>
        </w:rPr>
        <w:t>经理</w:t>
      </w:r>
      <w:r>
        <w:rPr>
          <w:rFonts w:hint="eastAsia" w:asciiTheme="minorEastAsia" w:hAnsiTheme="minorEastAsia"/>
          <w:sz w:val="24"/>
          <w:szCs w:val="24"/>
          <w:lang w:val="en-US" w:eastAsia="zh-CN"/>
        </w:rPr>
        <w:t>作“从信用保险看</w:t>
      </w:r>
      <w:r>
        <w:rPr>
          <w:rFonts w:hint="eastAsia" w:asciiTheme="minorEastAsia" w:hAnsiTheme="minorEastAsia"/>
          <w:sz w:val="24"/>
          <w:szCs w:val="24"/>
        </w:rPr>
        <w:t>RCEP</w:t>
      </w:r>
      <w:r>
        <w:rPr>
          <w:rFonts w:hint="eastAsia" w:asciiTheme="minorEastAsia" w:hAnsiTheme="minorEastAsia"/>
          <w:sz w:val="24"/>
          <w:szCs w:val="24"/>
          <w:lang w:val="en-US" w:eastAsia="zh-CN"/>
        </w:rPr>
        <w:t>”专题讲座。</w:t>
      </w:r>
    </w:p>
    <w:p>
      <w:pPr>
        <w:keepNext w:val="0"/>
        <w:keepLines w:val="0"/>
        <w:pageBreakBefore w:val="0"/>
        <w:widowControl w:val="0"/>
        <w:kinsoku/>
        <w:wordWrap/>
        <w:overflowPunct/>
        <w:topLinePunct w:val="0"/>
        <w:autoSpaceDE/>
        <w:autoSpaceDN/>
        <w:bidi w:val="0"/>
        <w:adjustRightInd/>
        <w:snapToGrid/>
        <w:spacing w:line="400" w:lineRule="exact"/>
        <w:ind w:firstLine="465"/>
        <w:jc w:val="left"/>
        <w:textAlignment w:val="auto"/>
        <w:outlineLvl w:val="9"/>
        <w:rPr>
          <w:rFonts w:hint="eastAsia" w:asciiTheme="minorEastAsia" w:hAnsiTheme="minorEastAsia"/>
          <w:sz w:val="24"/>
          <w:szCs w:val="24"/>
        </w:rPr>
      </w:pPr>
      <w:r>
        <w:rPr>
          <w:rFonts w:hint="eastAsia" w:asciiTheme="minorEastAsia" w:hAnsiTheme="minorEastAsia"/>
          <w:sz w:val="24"/>
          <w:szCs w:val="24"/>
          <w:lang w:val="en-US" w:eastAsia="zh-CN"/>
        </w:rPr>
        <w:t>陈经理首先简要而全面地介绍了《区域全面经济伙伴关系协定》（</w:t>
      </w:r>
      <w:r>
        <w:rPr>
          <w:rFonts w:hint="default" w:asciiTheme="minorEastAsia" w:hAnsiTheme="minorEastAsia"/>
          <w:sz w:val="24"/>
          <w:szCs w:val="24"/>
          <w:lang w:val="en-US" w:eastAsia="zh-CN"/>
        </w:rPr>
        <w:t>RCEP）</w:t>
      </w:r>
      <w:r>
        <w:rPr>
          <w:rFonts w:hint="eastAsia" w:asciiTheme="minorEastAsia" w:hAnsiTheme="minorEastAsia"/>
          <w:sz w:val="24"/>
          <w:szCs w:val="24"/>
          <w:lang w:val="en-US" w:eastAsia="zh-CN"/>
        </w:rPr>
        <w:t>的概念和意义。接着从宁波视角出发，分析了RCEP国家对我市的贸易额、增长率及全市/全国占比，近三年保额及出险率，将RECP国家的信用风险总结为以下四点：一般贸易下，RCEP国家整体出险率差异大，整体与全球平均水平接近；日、澳、两新长期风险较低，越、柬、缅、老明显高于平均风险；南海争端（越南、菲律宾）是东盟合作潜在风险；部分东盟国家（泰国、缅甸）政治因素需要长期关注。最后，陈经理为大家分享了中国信保在拓展RCEP方面可发挥的授信支持、渠道搭建、信息支撑和产品创新等作用。</w:t>
      </w:r>
    </w:p>
    <w:p>
      <w:pPr>
        <w:keepNext w:val="0"/>
        <w:keepLines w:val="0"/>
        <w:pageBreakBefore w:val="0"/>
        <w:widowControl w:val="0"/>
        <w:kinsoku/>
        <w:wordWrap/>
        <w:overflowPunct/>
        <w:topLinePunct w:val="0"/>
        <w:autoSpaceDE/>
        <w:autoSpaceDN/>
        <w:bidi w:val="0"/>
        <w:adjustRightInd/>
        <w:snapToGrid/>
        <w:spacing w:line="400" w:lineRule="exact"/>
        <w:ind w:firstLine="465"/>
        <w:jc w:val="left"/>
        <w:textAlignment w:val="auto"/>
        <w:outlineLvl w:val="9"/>
        <w:rPr>
          <w:rFonts w:hint="eastAsia" w:asciiTheme="minorEastAsia" w:hAnsiTheme="minorEastAsia"/>
          <w:sz w:val="24"/>
          <w:szCs w:val="24"/>
        </w:rPr>
      </w:pPr>
      <w:r>
        <w:rPr>
          <w:rFonts w:hint="eastAsia" w:asciiTheme="minorEastAsia" w:hAnsiTheme="minorEastAsia"/>
          <w:sz w:val="24"/>
          <w:szCs w:val="24"/>
          <w:lang w:val="en-US" w:eastAsia="zh-CN"/>
        </w:rPr>
        <w:t>此次培训会受到了外贸企业及业内人士的热烈关注，吸引了近1200人次在线观看</w:t>
      </w:r>
      <w:r>
        <w:rPr>
          <w:rFonts w:hint="eastAsia" w:asciiTheme="minorEastAsia" w:hAnsiTheme="minorEastAsia"/>
          <w:sz w:val="24"/>
          <w:szCs w:val="24"/>
        </w:rPr>
        <w:t>。</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outlineLvl w:val="9"/>
        <w:rPr>
          <w:rFonts w:ascii="华文彩云" w:hAnsi="宋体" w:eastAsia="华文彩云"/>
          <w:sz w:val="36"/>
          <w:szCs w:val="36"/>
        </w:rPr>
        <w:sectPr>
          <w:type w:val="continuous"/>
          <w:pgSz w:w="11906" w:h="16838"/>
          <w:pgMar w:top="1440" w:right="1800" w:bottom="1440" w:left="1800" w:header="851" w:footer="992" w:gutter="0"/>
          <w:cols w:equalWidth="0" w:num="2">
            <w:col w:w="3940" w:space="425"/>
            <w:col w:w="3940"/>
          </w:cols>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outlineLvl w:val="9"/>
        <w:rPr>
          <w:rFonts w:ascii="华文彩云" w:hAnsi="宋体" w:eastAsia="华文彩云"/>
          <w:sz w:val="36"/>
          <w:szCs w:val="36"/>
        </w:rPr>
      </w:pP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outlineLvl w:val="9"/>
        <w:rPr>
          <w:rFonts w:ascii="华文彩云" w:hAnsi="宋体" w:eastAsia="华文彩云"/>
          <w:sz w:val="36"/>
          <w:szCs w:val="36"/>
        </w:rPr>
      </w:pP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outlineLvl w:val="9"/>
        <w:rPr>
          <w:rFonts w:ascii="华文彩云" w:hAnsi="宋体" w:eastAsia="华文彩云"/>
          <w:sz w:val="36"/>
          <w:szCs w:val="36"/>
        </w:rPr>
      </w:pPr>
    </w:p>
    <w:p>
      <w:pPr>
        <w:keepNext w:val="0"/>
        <w:keepLines w:val="0"/>
        <w:pageBreakBefore w:val="0"/>
        <w:widowControl/>
        <w:shd w:val="clear" w:color="auto" w:fill="FFFFFF"/>
        <w:kinsoku/>
        <w:wordWrap/>
        <w:overflowPunct/>
        <w:topLinePunct w:val="0"/>
        <w:autoSpaceDE/>
        <w:autoSpaceDN/>
        <w:bidi w:val="0"/>
        <w:adjustRightInd/>
        <w:snapToGrid/>
        <w:spacing w:line="420" w:lineRule="exact"/>
        <w:jc w:val="center"/>
        <w:textAlignment w:val="auto"/>
        <w:outlineLvl w:val="1"/>
        <w:rPr>
          <w:rFonts w:hint="eastAsia" w:ascii="楷体_GB2312" w:hAnsi="微软雅黑" w:eastAsia="楷体_GB2312" w:cs="宋体"/>
          <w:b/>
          <w:bCs/>
          <w:color w:val="000000" w:themeColor="text1"/>
          <w:spacing w:val="8"/>
          <w:kern w:val="0"/>
          <w:sz w:val="36"/>
          <w:szCs w:val="36"/>
          <w:lang w:val="en-US" w:eastAsia="zh-CN"/>
        </w:rPr>
      </w:pPr>
      <w:r>
        <w:rPr>
          <w:rFonts w:hint="eastAsia" w:ascii="楷体_GB2312" w:hAnsi="微软雅黑" w:eastAsia="楷体_GB2312" w:cs="宋体"/>
          <w:b/>
          <w:bCs/>
          <w:color w:val="000000" w:themeColor="text1"/>
          <w:spacing w:val="8"/>
          <w:kern w:val="0"/>
          <w:sz w:val="36"/>
          <w:szCs w:val="36"/>
          <w:lang w:val="en-US" w:eastAsia="zh-CN"/>
        </w:rPr>
        <w:t>协会秘书处赴会员企业走访调研</w:t>
      </w:r>
    </w:p>
    <w:p>
      <w:pPr>
        <w:keepNext w:val="0"/>
        <w:keepLines w:val="0"/>
        <w:pageBreakBefore w:val="0"/>
        <w:kinsoku/>
        <w:wordWrap/>
        <w:overflowPunct/>
        <w:topLinePunct w:val="0"/>
        <w:autoSpaceDE/>
        <w:autoSpaceDN/>
        <w:bidi w:val="0"/>
        <w:adjustRightInd/>
        <w:snapToGrid/>
        <w:spacing w:line="420" w:lineRule="exact"/>
        <w:ind w:firstLine="480" w:firstLineChars="200"/>
        <w:jc w:val="left"/>
        <w:textAlignment w:val="auto"/>
        <w:rPr>
          <w:rFonts w:hint="eastAsia" w:asciiTheme="minorEastAsia" w:hAnsiTheme="minorEastAsia"/>
          <w:color w:val="000000" w:themeColor="text1"/>
          <w:sz w:val="24"/>
          <w:szCs w:val="24"/>
          <w:lang w:val="en-US" w:eastAsia="zh-CN"/>
        </w:rPr>
      </w:pPr>
    </w:p>
    <w:p>
      <w:pPr>
        <w:keepNext w:val="0"/>
        <w:keepLines w:val="0"/>
        <w:pageBreakBefore w:val="0"/>
        <w:kinsoku/>
        <w:wordWrap/>
        <w:overflowPunct/>
        <w:topLinePunct w:val="0"/>
        <w:autoSpaceDE/>
        <w:autoSpaceDN/>
        <w:bidi w:val="0"/>
        <w:adjustRightInd/>
        <w:snapToGrid/>
        <w:spacing w:line="420" w:lineRule="exact"/>
        <w:ind w:firstLine="480" w:firstLineChars="200"/>
        <w:jc w:val="left"/>
        <w:textAlignment w:val="auto"/>
        <w:rPr>
          <w:rFonts w:hint="eastAsia" w:asciiTheme="minorEastAsia" w:hAnsiTheme="minorEastAsia"/>
          <w:color w:val="000000" w:themeColor="text1"/>
          <w:sz w:val="24"/>
          <w:szCs w:val="24"/>
          <w:lang w:val="en-US" w:eastAsia="zh-CN"/>
        </w:rPr>
        <w:sectPr>
          <w:type w:val="continuous"/>
          <w:pgSz w:w="11906" w:h="16838"/>
          <w:pgMar w:top="1440" w:right="1800" w:bottom="1440" w:left="1800" w:header="851" w:footer="992" w:gutter="0"/>
          <w:cols w:space="425" w:num="1"/>
          <w:docGrid w:type="lines" w:linePitch="312" w:charSpace="0"/>
        </w:sectPr>
      </w:pPr>
    </w:p>
    <w:p>
      <w:pPr>
        <w:keepNext w:val="0"/>
        <w:keepLines w:val="0"/>
        <w:pageBreakBefore w:val="0"/>
        <w:kinsoku/>
        <w:wordWrap/>
        <w:overflowPunct/>
        <w:topLinePunct w:val="0"/>
        <w:autoSpaceDE/>
        <w:autoSpaceDN/>
        <w:bidi w:val="0"/>
        <w:adjustRightInd/>
        <w:snapToGrid/>
        <w:spacing w:line="420" w:lineRule="exact"/>
        <w:ind w:firstLine="480" w:firstLineChars="200"/>
        <w:jc w:val="left"/>
        <w:textAlignment w:val="auto"/>
        <w:rPr>
          <w:rFonts w:hint="eastAsia" w:asciiTheme="minorEastAsia" w:hAnsiTheme="minorEastAsia"/>
          <w:color w:val="000000" w:themeColor="text1"/>
          <w:sz w:val="24"/>
          <w:szCs w:val="24"/>
          <w:lang w:val="en-US" w:eastAsia="zh-CN"/>
        </w:rPr>
      </w:pPr>
      <w:r>
        <w:rPr>
          <w:rFonts w:hint="eastAsia" w:asciiTheme="minorEastAsia" w:hAnsiTheme="minorEastAsia"/>
          <w:color w:val="000000" w:themeColor="text1"/>
          <w:sz w:val="24"/>
          <w:szCs w:val="24"/>
          <w:lang w:val="en-US" w:eastAsia="zh-CN"/>
        </w:rPr>
        <w:t>为了加强与企业的联系，更好地</w:t>
      </w:r>
      <w:bookmarkStart w:id="0" w:name="_GoBack"/>
      <w:r>
        <w:rPr>
          <w:rFonts w:hint="eastAsia" w:asciiTheme="minorEastAsia" w:hAnsiTheme="minorEastAsia"/>
          <w:color w:val="000000" w:themeColor="text1"/>
          <w:sz w:val="24"/>
          <w:szCs w:val="24"/>
          <w:lang w:val="en-US" w:eastAsia="zh-CN"/>
        </w:rPr>
        <w:t>掌握会员企业的经营情况，了解企业近期所遇到的困难</w:t>
      </w:r>
      <w:bookmarkEnd w:id="0"/>
      <w:r>
        <w:rPr>
          <w:rFonts w:hint="eastAsia" w:asciiTheme="minorEastAsia" w:hAnsiTheme="minorEastAsia"/>
          <w:color w:val="000000" w:themeColor="text1"/>
          <w:sz w:val="24"/>
          <w:szCs w:val="24"/>
          <w:lang w:val="en-US" w:eastAsia="zh-CN"/>
        </w:rPr>
        <w:t>，协会秘书处自2020年11月底起在秘书长带领下赴有关会员企业进行集中走访调研。在走访过程中，秘书长向会员企业详细介绍了来访的主要目的，并认真听取企业在疫情期间的经营情况介绍。</w:t>
      </w:r>
    </w:p>
    <w:p>
      <w:pPr>
        <w:keepNext w:val="0"/>
        <w:keepLines w:val="0"/>
        <w:pageBreakBefore w:val="0"/>
        <w:kinsoku/>
        <w:wordWrap/>
        <w:overflowPunct/>
        <w:topLinePunct w:val="0"/>
        <w:autoSpaceDE/>
        <w:autoSpaceDN/>
        <w:bidi w:val="0"/>
        <w:adjustRightInd/>
        <w:snapToGrid/>
        <w:spacing w:line="420" w:lineRule="exact"/>
        <w:ind w:firstLine="480" w:firstLineChars="200"/>
        <w:jc w:val="left"/>
        <w:textAlignment w:val="auto"/>
        <w:rPr>
          <w:rFonts w:hint="eastAsia" w:asciiTheme="minorEastAsia" w:hAnsiTheme="minorEastAsia"/>
          <w:color w:val="000000" w:themeColor="text1"/>
          <w:sz w:val="24"/>
          <w:szCs w:val="24"/>
          <w:lang w:val="en-US" w:eastAsia="zh-CN"/>
        </w:rPr>
      </w:pPr>
      <w:r>
        <w:rPr>
          <w:rFonts w:hint="eastAsia" w:asciiTheme="minorEastAsia" w:hAnsiTheme="minorEastAsia"/>
          <w:color w:val="000000" w:themeColor="text1"/>
          <w:sz w:val="24"/>
          <w:szCs w:val="24"/>
          <w:lang w:val="en-US" w:eastAsia="zh-CN"/>
        </w:rPr>
        <w:t>经过对40余家企业的走访，我们了解到目前企业所面临的问题主要集中在汇率波动、用工短缺、原材料涨价、货柜价格上涨等方面。多数企业表示，这四方面问题导致企业利润大幅度减少，部分企业甚至有亏损，造成了不小的压力。其中有部分企业受到汇率的影响，导致其产品在南美市场缩水60%—70%。部分企业为了应对疫情导致的用工短缺的问题，将生产线替换成自动化生产线，但是自下半年起受集装箱短缺、原材料涨价以及汇率影响，投入多，回报少，一度造成企业资金链紧张。</w:t>
      </w:r>
    </w:p>
    <w:p>
      <w:pPr>
        <w:keepNext w:val="0"/>
        <w:keepLines w:val="0"/>
        <w:pageBreakBefore w:val="0"/>
        <w:kinsoku/>
        <w:wordWrap/>
        <w:overflowPunct/>
        <w:topLinePunct w:val="0"/>
        <w:autoSpaceDE/>
        <w:autoSpaceDN/>
        <w:bidi w:val="0"/>
        <w:adjustRightInd/>
        <w:snapToGrid/>
        <w:spacing w:line="420" w:lineRule="exact"/>
        <w:ind w:firstLine="480" w:firstLineChars="200"/>
        <w:jc w:val="left"/>
        <w:textAlignment w:val="auto"/>
        <w:rPr>
          <w:rFonts w:hint="eastAsia" w:asciiTheme="minorEastAsia" w:hAnsiTheme="minorEastAsia"/>
          <w:color w:val="000000" w:themeColor="text1"/>
          <w:sz w:val="24"/>
          <w:szCs w:val="24"/>
          <w:lang w:val="en-US" w:eastAsia="zh-CN"/>
        </w:rPr>
        <w:sectPr>
          <w:type w:val="continuous"/>
          <w:pgSz w:w="11906" w:h="16838"/>
          <w:pgMar w:top="1440" w:right="1800" w:bottom="1440" w:left="1800" w:header="851" w:footer="992" w:gutter="0"/>
          <w:cols w:equalWidth="0" w:num="2">
            <w:col w:w="3940" w:space="425"/>
            <w:col w:w="3940"/>
          </w:cols>
          <w:docGrid w:type="lines" w:linePitch="312" w:charSpace="0"/>
        </w:sectPr>
      </w:pPr>
      <w:r>
        <w:rPr>
          <w:rFonts w:hint="eastAsia" w:asciiTheme="minorEastAsia" w:hAnsiTheme="minorEastAsia"/>
          <w:color w:val="000000" w:themeColor="text1"/>
          <w:sz w:val="24"/>
          <w:szCs w:val="24"/>
          <w:lang w:val="en-US" w:eastAsia="zh-CN"/>
        </w:rPr>
        <w:t>有关部门与协会针对这些问题推出了一系列举措：市政府有关部门就集装箱短缺、货柜价格高涨制定相关措施，帮助企业渡过难关；市商务局成立了阶段性集装箱短缺工作专班，协会作为专班成员之一，及时反馈调研结果；协会也于2021年初联合相关金融部门，开展了汇率避险系列培训讲座。</w:t>
      </w:r>
    </w:p>
    <w:p>
      <w:pPr>
        <w:keepNext w:val="0"/>
        <w:keepLines w:val="0"/>
        <w:pageBreakBefore w:val="0"/>
        <w:kinsoku/>
        <w:wordWrap/>
        <w:overflowPunct/>
        <w:topLinePunct w:val="0"/>
        <w:autoSpaceDE/>
        <w:autoSpaceDN/>
        <w:bidi w:val="0"/>
        <w:adjustRightInd/>
        <w:snapToGrid/>
        <w:spacing w:line="420" w:lineRule="exact"/>
        <w:ind w:firstLine="480" w:firstLineChars="200"/>
        <w:jc w:val="left"/>
        <w:textAlignment w:val="auto"/>
        <w:rPr>
          <w:rFonts w:hint="eastAsia" w:asciiTheme="minorEastAsia" w:hAnsiTheme="minorEastAsia"/>
          <w:color w:val="000000" w:themeColor="text1"/>
          <w:sz w:val="24"/>
          <w:szCs w:val="24"/>
          <w:lang w:val="en-US" w:eastAsia="zh-CN"/>
        </w:rPr>
      </w:pPr>
    </w:p>
    <w:p>
      <w:pPr>
        <w:spacing w:line="440" w:lineRule="exact"/>
        <w:jc w:val="left"/>
        <w:rPr>
          <w:rFonts w:ascii="华文彩云" w:hAnsi="宋体" w:eastAsia="华文彩云"/>
          <w:sz w:val="36"/>
          <w:szCs w:val="36"/>
        </w:rPr>
      </w:pPr>
    </w:p>
    <w:p>
      <w:pPr>
        <w:rPr>
          <w:rFonts w:hint="eastAsia" w:ascii="华文彩云" w:hAnsi="宋体" w:eastAsia="华文彩云"/>
          <w:sz w:val="36"/>
          <w:szCs w:val="36"/>
        </w:rPr>
      </w:pPr>
      <w:r>
        <w:rPr>
          <w:rFonts w:hint="eastAsia" w:ascii="华文彩云" w:hAnsi="宋体" w:eastAsia="华文彩云"/>
          <w:sz w:val="36"/>
          <w:szCs w:val="36"/>
        </w:rPr>
        <w:br w:type="page"/>
      </w:r>
    </w:p>
    <w:p>
      <w:pPr>
        <w:spacing w:line="440" w:lineRule="exact"/>
        <w:jc w:val="left"/>
        <w:rPr>
          <w:rFonts w:hint="eastAsia" w:ascii="华文彩云" w:hAnsi="宋体" w:eastAsia="华文彩云"/>
          <w:sz w:val="36"/>
          <w:szCs w:val="36"/>
        </w:rPr>
      </w:pPr>
    </w:p>
    <w:p>
      <w:pPr>
        <w:spacing w:line="440" w:lineRule="exact"/>
        <w:jc w:val="left"/>
        <w:rPr>
          <w:rFonts w:ascii="华文彩云" w:eastAsia="华文彩云"/>
          <w:sz w:val="36"/>
          <w:szCs w:val="36"/>
        </w:rPr>
      </w:pPr>
      <w:r>
        <w:rPr>
          <w:rFonts w:hint="eastAsia" w:ascii="华文彩云" w:hAnsi="宋体" w:eastAsia="华文彩云"/>
          <w:sz w:val="36"/>
          <w:szCs w:val="36"/>
        </w:rPr>
        <w:t>◎</w:t>
      </w:r>
      <w:r>
        <w:rPr>
          <w:rFonts w:hint="eastAsia" w:ascii="华文彩云" w:eastAsia="华文彩云"/>
          <w:b/>
          <w:sz w:val="36"/>
          <w:szCs w:val="36"/>
        </w:rPr>
        <w:t>热点聚焦</w:t>
      </w:r>
    </w:p>
    <w:p>
      <w:pPr>
        <w:spacing w:line="440" w:lineRule="exact"/>
        <w:jc w:val="left"/>
        <w:rPr>
          <w:rFonts w:ascii="华文彩云" w:hAnsi="宋体" w:eastAsia="华文彩云"/>
          <w:sz w:val="36"/>
          <w:szCs w:val="36"/>
        </w:rPr>
      </w:pPr>
    </w:p>
    <w:p>
      <w:pPr>
        <w:spacing w:line="440" w:lineRule="exact"/>
        <w:jc w:val="left"/>
        <w:rPr>
          <w:rFonts w:ascii="华文彩云" w:hAnsi="宋体" w:eastAsia="华文彩云"/>
          <w:sz w:val="36"/>
          <w:szCs w:val="36"/>
        </w:rPr>
      </w:pPr>
    </w:p>
    <w:p>
      <w:pPr>
        <w:spacing w:line="440" w:lineRule="exact"/>
        <w:ind w:firstLine="723" w:firstLineChars="200"/>
        <w:jc w:val="center"/>
        <w:rPr>
          <w:rFonts w:ascii="楷体_GB2312" w:eastAsia="楷体_GB2312" w:hAnsiTheme="minorEastAsia"/>
          <w:b/>
          <w:bCs/>
          <w:sz w:val="36"/>
          <w:szCs w:val="36"/>
        </w:rPr>
      </w:pPr>
      <w:r>
        <w:rPr>
          <w:rFonts w:hint="eastAsia" w:ascii="楷体_GB2312" w:eastAsia="楷体_GB2312" w:hAnsiTheme="minorEastAsia"/>
          <w:b/>
          <w:bCs/>
          <w:sz w:val="36"/>
          <w:szCs w:val="36"/>
        </w:rPr>
        <w:t>外管局部署2021年三大重点：</w:t>
      </w:r>
    </w:p>
    <w:p>
      <w:pPr>
        <w:spacing w:line="440" w:lineRule="exact"/>
        <w:ind w:firstLine="723" w:firstLineChars="200"/>
        <w:jc w:val="center"/>
        <w:rPr>
          <w:rFonts w:ascii="楷体_GB2312" w:eastAsia="楷体_GB2312" w:hAnsiTheme="minorEastAsia"/>
          <w:b/>
          <w:bCs/>
          <w:sz w:val="36"/>
          <w:szCs w:val="36"/>
        </w:rPr>
      </w:pPr>
      <w:r>
        <w:rPr>
          <w:rFonts w:hint="eastAsia" w:ascii="楷体_GB2312" w:eastAsia="楷体_GB2312" w:hAnsiTheme="minorEastAsia"/>
          <w:b/>
          <w:bCs/>
          <w:sz w:val="36"/>
          <w:szCs w:val="36"/>
        </w:rPr>
        <w:t>防范跨境资本异常流动风险还需多管齐下</w:t>
      </w:r>
    </w:p>
    <w:p>
      <w:pPr>
        <w:spacing w:line="360" w:lineRule="auto"/>
        <w:jc w:val="left"/>
        <w:rPr>
          <w:rFonts w:cs="Times New Roman" w:asciiTheme="minorEastAsia" w:hAnsiTheme="minorEastAsia"/>
          <w:sz w:val="24"/>
          <w:szCs w:val="24"/>
        </w:rPr>
      </w:pPr>
    </w:p>
    <w:p>
      <w:pPr>
        <w:spacing w:line="440" w:lineRule="exact"/>
        <w:ind w:firstLine="480" w:firstLineChars="200"/>
        <w:rPr>
          <w:rFonts w:asciiTheme="minorEastAsia" w:hAnsiTheme="minorEastAsia"/>
          <w:sz w:val="24"/>
          <w:szCs w:val="24"/>
        </w:rPr>
        <w:sectPr>
          <w:type w:val="continuous"/>
          <w:pgSz w:w="11906" w:h="16838"/>
          <w:pgMar w:top="1440" w:right="1800" w:bottom="1440" w:left="1800" w:header="851" w:footer="992" w:gutter="0"/>
          <w:cols w:space="425" w:num="1"/>
          <w:docGrid w:type="lines" w:linePitch="312" w:charSpace="0"/>
        </w:sectPr>
      </w:pPr>
    </w:p>
    <w:p>
      <w:pPr>
        <w:spacing w:line="440" w:lineRule="exact"/>
        <w:ind w:firstLine="480" w:firstLineChars="200"/>
        <w:rPr>
          <w:rFonts w:asciiTheme="minorEastAsia" w:hAnsiTheme="minorEastAsia"/>
          <w:sz w:val="24"/>
          <w:szCs w:val="24"/>
        </w:rPr>
      </w:pPr>
      <w:r>
        <w:rPr>
          <w:rFonts w:hint="eastAsia" w:asciiTheme="minorEastAsia" w:hAnsiTheme="minorEastAsia"/>
          <w:sz w:val="24"/>
          <w:szCs w:val="24"/>
        </w:rPr>
        <w:t>1月6日，国家外汇管理局披露，1月4日国家外汇管理局召开2021年全国外汇管理工作电视会议，研究部署了2021年外汇管理重点工作：一是防范跨境资本异常流动风险；二是深化外汇领域改革开放；三是完善外汇市场“宏观审慎+微观监管”两位一体管理框架。</w:t>
      </w:r>
    </w:p>
    <w:p>
      <w:pPr>
        <w:spacing w:line="440" w:lineRule="exact"/>
        <w:ind w:firstLine="480" w:firstLineChars="200"/>
        <w:rPr>
          <w:rFonts w:asciiTheme="minorEastAsia" w:hAnsiTheme="minorEastAsia"/>
          <w:sz w:val="24"/>
          <w:szCs w:val="24"/>
        </w:rPr>
      </w:pPr>
      <w:r>
        <w:rPr>
          <w:rFonts w:hint="eastAsia" w:asciiTheme="minorEastAsia" w:hAnsiTheme="minorEastAsia"/>
          <w:sz w:val="24"/>
          <w:szCs w:val="24"/>
        </w:rPr>
        <w:t>多位业内人士看来，随着去年人民币大幅升值引发热钱流入风险加重，防范跨境资本异常流动风险，已然成为国家外汇管理局的一项重点工作。</w:t>
      </w:r>
    </w:p>
    <w:p>
      <w:pPr>
        <w:spacing w:line="440" w:lineRule="exact"/>
        <w:ind w:firstLine="480" w:firstLineChars="200"/>
        <w:rPr>
          <w:rFonts w:asciiTheme="minorEastAsia" w:hAnsiTheme="minorEastAsia"/>
          <w:sz w:val="24"/>
          <w:szCs w:val="24"/>
        </w:rPr>
      </w:pPr>
      <w:r>
        <w:rPr>
          <w:rFonts w:hint="eastAsia" w:asciiTheme="minorEastAsia" w:hAnsiTheme="minorEastAsia"/>
          <w:sz w:val="24"/>
          <w:szCs w:val="24"/>
        </w:rPr>
        <w:t>“若人民币持续升值引发大量热钱流入，势必会冲击当前中国国际资本收支自主平衡的格局，进而触发资本跨境大进大出风险，对中国金融市场安全构成冲击。”一位国内私募基金宏观经济分析师向记者表示。</w:t>
      </w:r>
    </w:p>
    <w:p>
      <w:pPr>
        <w:spacing w:line="440" w:lineRule="exact"/>
        <w:ind w:firstLine="480" w:firstLineChars="200"/>
        <w:rPr>
          <w:rFonts w:asciiTheme="minorEastAsia" w:hAnsiTheme="minorEastAsia"/>
          <w:sz w:val="24"/>
          <w:szCs w:val="24"/>
        </w:rPr>
      </w:pPr>
      <w:r>
        <w:rPr>
          <w:rFonts w:hint="eastAsia" w:asciiTheme="minorEastAsia" w:hAnsiTheme="minorEastAsia"/>
          <w:sz w:val="24"/>
          <w:szCs w:val="24"/>
        </w:rPr>
        <w:t>在他看来，随着防范跨境资本异常流动风险位列三大重点工作的“最前面”，未来一段时间外管局将强化大数据监控等措施，加强外汇形势监测评估，密切关注疫情等外部冲击所带来的资本异常流动影响。</w:t>
      </w:r>
    </w:p>
    <w:p>
      <w:pPr>
        <w:spacing w:line="440" w:lineRule="exact"/>
        <w:ind w:firstLine="480" w:firstLineChars="200"/>
        <w:rPr>
          <w:rFonts w:asciiTheme="minorEastAsia" w:hAnsiTheme="minorEastAsia"/>
          <w:sz w:val="24"/>
          <w:szCs w:val="24"/>
        </w:rPr>
      </w:pPr>
      <w:r>
        <w:rPr>
          <w:rFonts w:hint="eastAsia" w:asciiTheme="minorEastAsia" w:hAnsiTheme="minorEastAsia"/>
          <w:sz w:val="24"/>
          <w:szCs w:val="24"/>
        </w:rPr>
        <w:t>一位股份制银行金融市场部业务主管坦言，要有效防范跨境资本异常流动风险，另一项重要举措是引导金融机构和企业坚持风险中性原则，打击外汇投机行为，加强市场预期管理和宏观审慎管理，避免外汇市场无序波动。</w:t>
      </w:r>
    </w:p>
    <w:p>
      <w:pPr>
        <w:spacing w:line="440" w:lineRule="exact"/>
        <w:ind w:firstLine="480" w:firstLineChars="200"/>
        <w:rPr>
          <w:rFonts w:asciiTheme="minorEastAsia" w:hAnsiTheme="minorEastAsia"/>
          <w:sz w:val="24"/>
          <w:szCs w:val="24"/>
        </w:rPr>
      </w:pPr>
      <w:r>
        <w:rPr>
          <w:rFonts w:hint="eastAsia" w:asciiTheme="minorEastAsia" w:hAnsiTheme="minorEastAsia"/>
          <w:sz w:val="24"/>
          <w:szCs w:val="24"/>
        </w:rPr>
        <w:t>“随着本周人民币快速上涨突破6.45，外贸企业押注人民币持续大幅升值的投机操作又开始升温。”他告诉记者。原先一些企业在年初落实外汇套保措施，但由于本周以来汇率飙涨，他们一方面延后外汇套保措施操作，一方面大幅增加押注人民币升值的头寸，甚至远远高于实际外汇业务量。</w:t>
      </w:r>
    </w:p>
    <w:p>
      <w:pPr>
        <w:spacing w:line="440" w:lineRule="exact"/>
        <w:ind w:firstLine="480" w:firstLineChars="200"/>
        <w:rPr>
          <w:rFonts w:asciiTheme="minorEastAsia" w:hAnsiTheme="minorEastAsia"/>
          <w:sz w:val="24"/>
          <w:szCs w:val="24"/>
        </w:rPr>
      </w:pPr>
      <w:r>
        <w:rPr>
          <w:rFonts w:hint="eastAsia" w:asciiTheme="minorEastAsia" w:hAnsiTheme="minorEastAsia"/>
          <w:sz w:val="24"/>
          <w:szCs w:val="24"/>
        </w:rPr>
        <w:t>“我们正采取多项措施引导外贸企业认清人民币汇率双向波动的长期趋势，减少押注人民币单边大幅升值的投机操作额度，避免投机失败导致企业日常运营遭遇大波折。”这位股份制银行金融市场部业务主管指出。目前，他所在银行的主要应对策略，是向外贸企业积极推荐外汇风险逆转组合期权，即企业在风险逆转组合期权存续初期无须支付期权费，只要期权行权价能在企业风险承受范围内，将帮助企业以更低成本对冲人民币汇率剧烈波动风险。</w:t>
      </w:r>
    </w:p>
    <w:p>
      <w:pPr>
        <w:spacing w:line="440" w:lineRule="exact"/>
        <w:ind w:firstLine="482" w:firstLineChars="200"/>
        <w:rPr>
          <w:rFonts w:asciiTheme="minorEastAsia" w:hAnsiTheme="minorEastAsia"/>
          <w:b/>
          <w:bCs/>
          <w:sz w:val="24"/>
          <w:szCs w:val="24"/>
        </w:rPr>
      </w:pPr>
      <w:r>
        <w:rPr>
          <w:rFonts w:hint="eastAsia" w:asciiTheme="minorEastAsia" w:hAnsiTheme="minorEastAsia"/>
          <w:b/>
          <w:bCs/>
          <w:sz w:val="24"/>
          <w:szCs w:val="24"/>
        </w:rPr>
        <w:t>严控热钱大举进出</w:t>
      </w:r>
    </w:p>
    <w:p>
      <w:pPr>
        <w:spacing w:line="440" w:lineRule="exact"/>
        <w:ind w:firstLine="480" w:firstLineChars="200"/>
        <w:rPr>
          <w:rFonts w:asciiTheme="minorEastAsia" w:hAnsiTheme="minorEastAsia"/>
          <w:sz w:val="24"/>
          <w:szCs w:val="24"/>
        </w:rPr>
      </w:pPr>
      <w:r>
        <w:rPr>
          <w:rFonts w:hint="eastAsia" w:asciiTheme="minorEastAsia" w:hAnsiTheme="minorEastAsia"/>
          <w:sz w:val="24"/>
          <w:szCs w:val="24"/>
        </w:rPr>
        <w:t>尽管2020年新冠肺炎疫情来袭，但中国国际收支的自主平衡格局并未受到冲击。具体而言，经常账户和非储备性质的金融账户始终保持着镜像关系——即经常账户呈现顺差，非储备性质的金融账户就呈现逆差；反之，经常账户逆差，非储备性质的金融账户则呈现顺差；这令市场各类主体的国际收支交易保持有进有出、有来有往的自主平衡态势。</w:t>
      </w:r>
    </w:p>
    <w:p>
      <w:pPr>
        <w:spacing w:line="440" w:lineRule="exact"/>
        <w:ind w:firstLine="480" w:firstLineChars="200"/>
        <w:rPr>
          <w:rFonts w:asciiTheme="minorEastAsia" w:hAnsiTheme="minorEastAsia"/>
          <w:sz w:val="24"/>
          <w:szCs w:val="24"/>
        </w:rPr>
      </w:pPr>
      <w:r>
        <w:rPr>
          <w:rFonts w:hint="eastAsia" w:asciiTheme="minorEastAsia" w:hAnsiTheme="minorEastAsia"/>
          <w:sz w:val="24"/>
          <w:szCs w:val="24"/>
        </w:rPr>
        <w:t>“但是，若人民币汇率持续升值触发大量热钱流入，这种自主平衡格局将很可能打破。”前述国内私募基金宏观经济分析师指出。究其原因，一是大量热钱通过贸易渠道流入境内，导致一段时间内经常账户与金融账户出现双顺差，由此不但破坏了此前相对均衡的镜像关系，还会造成海外金融机构对人民币升值预期进一步升温，反而加大人民币汇率高估隐患；二是热钱大举进出势必扰乱中国跨境资本流动的平稳均衡，由此造成人民币大幅异常波动风险骤增，不利于中国金融市场安全稳定。</w:t>
      </w:r>
    </w:p>
    <w:p>
      <w:pPr>
        <w:spacing w:line="440" w:lineRule="exact"/>
        <w:ind w:firstLine="480" w:firstLineChars="200"/>
        <w:rPr>
          <w:rFonts w:asciiTheme="minorEastAsia" w:hAnsiTheme="minorEastAsia"/>
          <w:sz w:val="24"/>
          <w:szCs w:val="24"/>
        </w:rPr>
      </w:pPr>
      <w:r>
        <w:rPr>
          <w:rFonts w:hint="eastAsia" w:asciiTheme="minorEastAsia" w:hAnsiTheme="minorEastAsia"/>
          <w:sz w:val="24"/>
          <w:szCs w:val="24"/>
        </w:rPr>
        <w:t>因此，如何加强外汇形势监测评估，有效防范疫情等外部冲击所造成的资本异常流动风险，已然成为外管局的一大工作挑战。</w:t>
      </w:r>
    </w:p>
    <w:p>
      <w:pPr>
        <w:spacing w:line="440" w:lineRule="exact"/>
        <w:ind w:firstLine="480" w:firstLineChars="200"/>
        <w:rPr>
          <w:rFonts w:asciiTheme="minorEastAsia" w:hAnsiTheme="minorEastAsia"/>
          <w:sz w:val="24"/>
          <w:szCs w:val="24"/>
        </w:rPr>
      </w:pPr>
      <w:r>
        <w:rPr>
          <w:rFonts w:hint="eastAsia" w:asciiTheme="minorEastAsia" w:hAnsiTheme="minorEastAsia"/>
          <w:sz w:val="24"/>
          <w:szCs w:val="24"/>
        </w:rPr>
        <w:t>多位业内人士指出，相比债券通、陆股通、QFII等渠道，热钱更容易通过贸易项、地下钱庄、加密数字货币交易等渠道流入境内，进而押注人民币大幅升值。</w:t>
      </w:r>
    </w:p>
    <w:p>
      <w:pPr>
        <w:spacing w:line="440" w:lineRule="exact"/>
        <w:ind w:firstLine="480" w:firstLineChars="200"/>
        <w:rPr>
          <w:rFonts w:asciiTheme="minorEastAsia" w:hAnsiTheme="minorEastAsia"/>
          <w:sz w:val="24"/>
          <w:szCs w:val="24"/>
        </w:rPr>
      </w:pPr>
      <w:r>
        <w:rPr>
          <w:rFonts w:hint="eastAsia" w:asciiTheme="minorEastAsia" w:hAnsiTheme="minorEastAsia"/>
          <w:sz w:val="24"/>
          <w:szCs w:val="24"/>
        </w:rPr>
        <w:t>值得注意的是，1月4日外管局在今年工作会议上强调，将以“零容忍”态度严厉打击地下钱庄、跨境赌博等外汇领域违法违规活动，维护外汇市场健康秩序。</w:t>
      </w:r>
    </w:p>
    <w:p>
      <w:pPr>
        <w:spacing w:line="440" w:lineRule="exact"/>
        <w:ind w:firstLine="480" w:firstLineChars="200"/>
        <w:rPr>
          <w:rFonts w:asciiTheme="minorEastAsia" w:hAnsiTheme="minorEastAsia"/>
          <w:sz w:val="24"/>
          <w:szCs w:val="24"/>
        </w:rPr>
      </w:pPr>
      <w:r>
        <w:rPr>
          <w:rFonts w:hint="eastAsia" w:asciiTheme="minorEastAsia" w:hAnsiTheme="minorEastAsia"/>
          <w:sz w:val="24"/>
          <w:szCs w:val="24"/>
        </w:rPr>
        <w:t>多位外贸企业主坦言，去年下半年起，相关从严监管措施悄然落地。他们不少收款账户已遭到银行冻结，原因是海外客户使用代理账户付款，其中存在洗钱或热钱流入等隐患。除非外贸企业向相关部门递交相关贸易资料，证明贸易真实背景与境外付款方的资金来源合法合规，才能解冻相关收款账户。</w:t>
      </w:r>
    </w:p>
    <w:p>
      <w:pPr>
        <w:spacing w:line="440" w:lineRule="exact"/>
        <w:ind w:firstLine="480" w:firstLineChars="200"/>
        <w:rPr>
          <w:rFonts w:asciiTheme="minorEastAsia" w:hAnsiTheme="minorEastAsia"/>
          <w:sz w:val="24"/>
          <w:szCs w:val="24"/>
        </w:rPr>
      </w:pPr>
      <w:r>
        <w:rPr>
          <w:rFonts w:hint="eastAsia" w:asciiTheme="minorEastAsia" w:hAnsiTheme="minorEastAsia"/>
          <w:sz w:val="24"/>
          <w:szCs w:val="24"/>
        </w:rPr>
        <w:t>多位数字货币投资者则表示，只要他们将数字货币投资境外收益转入境内账户，后者同样面临冻结风险。究其原因，相关部门认为部分押注人民币大幅升值的热钱正借助数字货币账户流入境内，且数字货币账户的私密性，同样存在洗钱、不明资金跨境进出等风险。</w:t>
      </w:r>
    </w:p>
    <w:p>
      <w:pPr>
        <w:spacing w:line="440" w:lineRule="exact"/>
        <w:ind w:firstLine="480" w:firstLineChars="200"/>
        <w:rPr>
          <w:rFonts w:asciiTheme="minorEastAsia" w:hAnsiTheme="minorEastAsia"/>
          <w:sz w:val="24"/>
          <w:szCs w:val="24"/>
        </w:rPr>
      </w:pPr>
      <w:r>
        <w:rPr>
          <w:rFonts w:hint="eastAsia" w:asciiTheme="minorEastAsia" w:hAnsiTheme="minorEastAsia"/>
          <w:sz w:val="24"/>
          <w:szCs w:val="24"/>
        </w:rPr>
        <w:t>记者多方了解到，随着地下钱庄违规运作资金跨境流动的手法日益隐蔽化多样化，相关部门也在持续加大监管措施与打击力度。</w:t>
      </w:r>
    </w:p>
    <w:p>
      <w:pPr>
        <w:spacing w:line="440" w:lineRule="exact"/>
        <w:ind w:firstLine="480" w:firstLineChars="200"/>
        <w:rPr>
          <w:rFonts w:asciiTheme="minorEastAsia" w:hAnsiTheme="minorEastAsia"/>
          <w:sz w:val="24"/>
          <w:szCs w:val="24"/>
        </w:rPr>
      </w:pPr>
      <w:r>
        <w:rPr>
          <w:rFonts w:hint="eastAsia" w:asciiTheme="minorEastAsia" w:hAnsiTheme="minorEastAsia"/>
          <w:sz w:val="24"/>
          <w:szCs w:val="24"/>
        </w:rPr>
        <w:t>“以往，很多地下钱庄都采取境内外资金对敲的方式（即境外账户汇入一笔美元，境内账户汇出相应人民币到指定账户），协助大量热钱流入押注人民币升值，但如今这种手法肯定走不通。”一位熟悉地下钱庄操作手法的民间投资机构负责人向记者透露。近期，他听说相关部门正着手加大对银行、支付机构的检查力度，严惩利用虚假贸易、欺骗性交易协助热钱进出等行为，全面封堵非法资金跨境流动渠道。</w:t>
      </w:r>
    </w:p>
    <w:p>
      <w:pPr>
        <w:spacing w:line="440" w:lineRule="exact"/>
        <w:ind w:firstLine="482" w:firstLineChars="200"/>
        <w:rPr>
          <w:rFonts w:asciiTheme="minorEastAsia" w:hAnsiTheme="minorEastAsia"/>
          <w:b/>
          <w:bCs/>
          <w:sz w:val="24"/>
          <w:szCs w:val="24"/>
        </w:rPr>
      </w:pPr>
      <w:r>
        <w:rPr>
          <w:rFonts w:hint="eastAsia" w:asciiTheme="minorEastAsia" w:hAnsiTheme="minorEastAsia"/>
          <w:b/>
          <w:bCs/>
          <w:sz w:val="24"/>
          <w:szCs w:val="24"/>
        </w:rPr>
        <w:t>引导企业树立风险中性原则</w:t>
      </w:r>
    </w:p>
    <w:p>
      <w:pPr>
        <w:spacing w:line="440" w:lineRule="exact"/>
        <w:ind w:firstLine="480" w:firstLineChars="200"/>
        <w:rPr>
          <w:rFonts w:asciiTheme="minorEastAsia" w:hAnsiTheme="minorEastAsia"/>
          <w:sz w:val="24"/>
          <w:szCs w:val="24"/>
        </w:rPr>
      </w:pPr>
      <w:r>
        <w:rPr>
          <w:rFonts w:hint="eastAsia" w:asciiTheme="minorEastAsia" w:hAnsiTheme="minorEastAsia"/>
          <w:sz w:val="24"/>
          <w:szCs w:val="24"/>
        </w:rPr>
        <w:t>在多位业内人士看来，要有效防范跨境资本异常流动风险，还需引导众多金融机构和企业坚持风险中性原则，打击外汇投机行为，加强市场预期管理和宏观审慎管理，避免外汇市场无序波动。</w:t>
      </w:r>
    </w:p>
    <w:p>
      <w:pPr>
        <w:spacing w:line="440" w:lineRule="exact"/>
        <w:ind w:firstLine="480" w:firstLineChars="200"/>
        <w:rPr>
          <w:rFonts w:asciiTheme="minorEastAsia" w:hAnsiTheme="minorEastAsia"/>
          <w:sz w:val="24"/>
          <w:szCs w:val="24"/>
        </w:rPr>
      </w:pPr>
      <w:r>
        <w:rPr>
          <w:rFonts w:hint="eastAsia" w:asciiTheme="minorEastAsia" w:hAnsiTheme="minorEastAsia"/>
          <w:sz w:val="24"/>
          <w:szCs w:val="24"/>
        </w:rPr>
        <w:t>多位长三角地区外贸企业财务总监向记者透露，随着本周以来人民币汇率快速上涨突破6.45，他们企业高层的投机买涨人民币热情又开始高涨。</w:t>
      </w:r>
    </w:p>
    <w:p>
      <w:pPr>
        <w:spacing w:line="440" w:lineRule="exact"/>
        <w:ind w:firstLine="480" w:firstLineChars="200"/>
        <w:rPr>
          <w:rFonts w:asciiTheme="minorEastAsia" w:hAnsiTheme="minorEastAsia"/>
          <w:sz w:val="24"/>
          <w:szCs w:val="24"/>
        </w:rPr>
      </w:pPr>
      <w:r>
        <w:rPr>
          <w:rFonts w:hint="eastAsia" w:asciiTheme="minorEastAsia" w:hAnsiTheme="minorEastAsia"/>
          <w:sz w:val="24"/>
          <w:szCs w:val="24"/>
        </w:rPr>
        <w:t>“原计划本周落实全年的外汇套保措施，但周三企业高层突然打来电话要求暂缓，因为他认为人民币汇率将上涨突破6.2，与其斥资开展购汇操作的外汇套保，不如直接等到人民币汇率涨到6.15-6.2直接购汇更加划算。”一位江浙地区大型制造企业国际业务主管告诉记者。</w:t>
      </w:r>
    </w:p>
    <w:p>
      <w:pPr>
        <w:spacing w:line="440" w:lineRule="exact"/>
        <w:ind w:firstLine="480" w:firstLineChars="200"/>
        <w:rPr>
          <w:rFonts w:asciiTheme="minorEastAsia" w:hAnsiTheme="minorEastAsia"/>
          <w:sz w:val="24"/>
          <w:szCs w:val="24"/>
        </w:rPr>
      </w:pPr>
      <w:r>
        <w:rPr>
          <w:rFonts w:hint="eastAsia" w:asciiTheme="minorEastAsia" w:hAnsiTheme="minorEastAsia"/>
          <w:sz w:val="24"/>
          <w:szCs w:val="24"/>
        </w:rPr>
        <w:t>他直言，即便人民币汇率上涨突破6.2，他所在的企业高层也不会履行目前的购汇规划，转而进一步押注人民币汇率突破6.05。</w:t>
      </w:r>
    </w:p>
    <w:p>
      <w:pPr>
        <w:spacing w:line="440" w:lineRule="exact"/>
        <w:ind w:firstLine="480" w:firstLineChars="200"/>
        <w:rPr>
          <w:rFonts w:asciiTheme="minorEastAsia" w:hAnsiTheme="minorEastAsia"/>
          <w:sz w:val="24"/>
          <w:szCs w:val="24"/>
        </w:rPr>
      </w:pPr>
      <w:r>
        <w:rPr>
          <w:rFonts w:hint="eastAsia" w:asciiTheme="minorEastAsia" w:hAnsiTheme="minorEastAsia"/>
          <w:sz w:val="24"/>
          <w:szCs w:val="24"/>
        </w:rPr>
        <w:t>“我们现在面临的最大外汇风险，是逾80%外汇预付款头寸均没有采取外汇套保措施，一旦汇率突然下跌，我们每年4%的外贸利润都将被骤增的购汇成本吞噬。”他表示。</w:t>
      </w:r>
    </w:p>
    <w:p>
      <w:pPr>
        <w:spacing w:line="440" w:lineRule="exact"/>
        <w:ind w:firstLine="480" w:firstLineChars="200"/>
        <w:rPr>
          <w:rFonts w:asciiTheme="minorEastAsia" w:hAnsiTheme="minorEastAsia"/>
          <w:sz w:val="24"/>
          <w:szCs w:val="24"/>
        </w:rPr>
      </w:pPr>
      <w:r>
        <w:rPr>
          <w:rFonts w:hint="eastAsia" w:asciiTheme="minorEastAsia" w:hAnsiTheme="minorEastAsia"/>
          <w:sz w:val="24"/>
          <w:szCs w:val="24"/>
        </w:rPr>
        <w:t>记者多方了解到，为了通过押注人民币汇率大幅升值获利，部分外贸企业的人民币汇率买涨头寸远远超过其实际外汇业务量。比如本周以来不少外贸企业买入的三个月期限人民币汇率看涨掉期交易头寸（执行价在6.1-6.15），超过其日常外贸业务量的2-3倍。</w:t>
      </w:r>
    </w:p>
    <w:p>
      <w:pPr>
        <w:spacing w:line="440" w:lineRule="exact"/>
        <w:ind w:firstLine="480" w:firstLineChars="200"/>
        <w:rPr>
          <w:rFonts w:asciiTheme="minorEastAsia" w:hAnsiTheme="minorEastAsia"/>
          <w:sz w:val="24"/>
          <w:szCs w:val="24"/>
        </w:rPr>
      </w:pPr>
      <w:r>
        <w:rPr>
          <w:rFonts w:hint="eastAsia" w:asciiTheme="minorEastAsia" w:hAnsiTheme="minorEastAsia"/>
          <w:sz w:val="24"/>
          <w:szCs w:val="24"/>
        </w:rPr>
        <w:t>“为了对冲企业买涨人民币的对手盘风险，银行也只能在境外市场相应买入离岸人民币看涨期权或衍生品，由此造成市场看涨人民币预期持续升温，触发更多热钱流入导致资本跨境资本异常流动风险加大。”上述股份制银行金融市场部业务主管向记者表示。事实上，2018年以来人民币汇率在6.24-7.19之间宽幅双向波动，如今人民币汇率不断逼近过去3年以来的高点，外贸企业应更警惕潜在的汇率回调风险。</w:t>
      </w:r>
    </w:p>
    <w:p>
      <w:pPr>
        <w:spacing w:line="440" w:lineRule="exact"/>
        <w:ind w:firstLine="480" w:firstLineChars="200"/>
        <w:rPr>
          <w:rFonts w:asciiTheme="minorEastAsia" w:hAnsiTheme="minorEastAsia"/>
          <w:sz w:val="24"/>
          <w:szCs w:val="24"/>
        </w:rPr>
      </w:pPr>
      <w:r>
        <w:rPr>
          <w:rFonts w:hint="eastAsia" w:asciiTheme="minorEastAsia" w:hAnsiTheme="minorEastAsia"/>
          <w:sz w:val="24"/>
          <w:szCs w:val="24"/>
        </w:rPr>
        <w:t>他向记者透露，目前他所在的银行除了积极向外贸企业推荐风险逆转组合期权，还研发了多款挂钩LPR贷款利率的人民币外汇货币掉期产品。具体而言，外贸企业可以按固定汇率将美元贷款换成人民币用于生产经营，并按时向银行归还挂钩LPR贷款利率的人民币利息；等产品到期时，企业再以相同汇率将人民币换成美元（偿还美元贷款本金）。如此操作的好处，一是企业可以享受较低的融资成本，二是美元结售汇操作价格保持一致，企业无需担心汇率波动风险。</w:t>
      </w:r>
    </w:p>
    <w:p>
      <w:pPr>
        <w:spacing w:line="440" w:lineRule="exact"/>
        <w:ind w:firstLine="480" w:firstLineChars="200"/>
        <w:rPr>
          <w:rFonts w:asciiTheme="minorEastAsia" w:hAnsiTheme="minorEastAsia"/>
          <w:sz w:val="24"/>
          <w:szCs w:val="24"/>
        </w:rPr>
      </w:pPr>
      <w:r>
        <w:rPr>
          <w:rFonts w:hint="eastAsia" w:asciiTheme="minorEastAsia" w:hAnsiTheme="minorEastAsia"/>
          <w:sz w:val="24"/>
          <w:szCs w:val="24"/>
        </w:rPr>
        <w:t>“我们希望通过这类创新型外汇风险对冲衍生品能逐步帮助企业树立风险中性的意识。毕竟，很多投机押注人民币大幅单边升值的外贸企业，都因外部环境变化导致汇率大幅双向波动，遭遇过不小的汇兑损失。”这位股份制银行金融市场部业务主管强调说。（21世纪经济报道</w:t>
      </w:r>
      <w:r>
        <w:rPr>
          <w:rFonts w:asciiTheme="minorEastAsia" w:hAnsiTheme="minorEastAsia"/>
          <w:sz w:val="24"/>
          <w:szCs w:val="24"/>
        </w:rPr>
        <w:t>01-07</w:t>
      </w:r>
      <w:r>
        <w:rPr>
          <w:rFonts w:hint="eastAsia" w:asciiTheme="minorEastAsia" w:hAnsiTheme="minorEastAsia"/>
          <w:sz w:val="24"/>
          <w:szCs w:val="24"/>
        </w:rPr>
        <w:t>）</w:t>
      </w:r>
    </w:p>
    <w:p>
      <w:pPr>
        <w:spacing w:line="440" w:lineRule="exact"/>
        <w:jc w:val="left"/>
        <w:rPr>
          <w:rFonts w:ascii="华文彩云" w:hAnsi="宋体" w:eastAsia="华文彩云"/>
          <w:sz w:val="36"/>
          <w:szCs w:val="36"/>
        </w:rPr>
        <w:sectPr>
          <w:type w:val="continuous"/>
          <w:pgSz w:w="11906" w:h="16838"/>
          <w:pgMar w:top="1440" w:right="1800" w:bottom="1440" w:left="1800" w:header="851" w:footer="992" w:gutter="0"/>
          <w:cols w:space="425" w:num="2"/>
          <w:docGrid w:type="lines" w:linePitch="312" w:charSpace="0"/>
        </w:sectPr>
      </w:pPr>
    </w:p>
    <w:p>
      <w:pPr>
        <w:spacing w:line="440" w:lineRule="exact"/>
        <w:jc w:val="left"/>
        <w:rPr>
          <w:rFonts w:ascii="华文彩云" w:hAnsi="宋体" w:eastAsia="华文彩云"/>
          <w:sz w:val="36"/>
          <w:szCs w:val="36"/>
        </w:rPr>
      </w:pPr>
    </w:p>
    <w:p>
      <w:pPr>
        <w:spacing w:line="440" w:lineRule="exact"/>
        <w:jc w:val="left"/>
        <w:rPr>
          <w:rFonts w:ascii="华文彩云" w:hAnsi="宋体" w:eastAsia="华文彩云"/>
          <w:sz w:val="36"/>
          <w:szCs w:val="36"/>
        </w:rPr>
      </w:pPr>
    </w:p>
    <w:p>
      <w:pPr>
        <w:spacing w:line="440" w:lineRule="exact"/>
        <w:jc w:val="left"/>
        <w:rPr>
          <w:rFonts w:ascii="华文彩云" w:hAnsi="宋体" w:eastAsia="华文彩云"/>
          <w:sz w:val="36"/>
          <w:szCs w:val="36"/>
        </w:rPr>
      </w:pP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华文细黑" w:hAnsi="华文细黑" w:eastAsia="华文细黑"/>
          <w:sz w:val="28"/>
          <w:szCs w:val="28"/>
        </w:rPr>
      </w:pPr>
      <w:r>
        <w:rPr>
          <w:rFonts w:hint="eastAsia" w:ascii="华文细黑" w:hAnsi="华文细黑" w:eastAsia="华文细黑"/>
          <w:sz w:val="28"/>
          <w:szCs w:val="28"/>
        </w:rPr>
        <w:t>中国在世界各地超1800个海外仓，缩短了物流时间，让海外消费者体验更好——</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ascii="华文细黑" w:hAnsi="华文细黑" w:eastAsia="华文细黑"/>
          <w:b/>
          <w:bCs/>
          <w:sz w:val="28"/>
          <w:szCs w:val="28"/>
        </w:rPr>
      </w:pPr>
      <w:r>
        <w:rPr>
          <w:rFonts w:hint="eastAsia" w:ascii="楷体_GB2312" w:eastAsia="楷体_GB2312"/>
          <w:b/>
          <w:bCs/>
          <w:sz w:val="36"/>
          <w:szCs w:val="36"/>
        </w:rPr>
        <w:t>海外仓，助力“中国造”畅销全球</w:t>
      </w:r>
    </w:p>
    <w:p>
      <w:pPr>
        <w:spacing w:line="440" w:lineRule="exact"/>
        <w:jc w:val="left"/>
        <w:rPr>
          <w:rFonts w:ascii="华文彩云" w:hAnsi="宋体" w:eastAsia="华文彩云"/>
          <w:sz w:val="36"/>
          <w:szCs w:val="36"/>
        </w:rPr>
      </w:pPr>
    </w:p>
    <w:p>
      <w:pPr>
        <w:spacing w:line="440" w:lineRule="exact"/>
        <w:ind w:firstLine="480" w:firstLineChars="200"/>
        <w:jc w:val="left"/>
        <w:rPr>
          <w:rFonts w:asciiTheme="minorEastAsia" w:hAnsiTheme="minorEastAsia"/>
          <w:sz w:val="24"/>
          <w:szCs w:val="24"/>
        </w:rPr>
        <w:sectPr>
          <w:type w:val="continuous"/>
          <w:pgSz w:w="11906" w:h="16838"/>
          <w:pgMar w:top="1440" w:right="1800" w:bottom="1440" w:left="1800" w:header="851" w:footer="992" w:gutter="0"/>
          <w:cols w:space="425" w:num="1"/>
          <w:docGrid w:type="lines" w:linePitch="312" w:charSpace="0"/>
        </w:sectPr>
      </w:pPr>
    </w:p>
    <w:p>
      <w:pPr>
        <w:spacing w:line="440" w:lineRule="exact"/>
        <w:ind w:firstLine="480" w:firstLineChars="200"/>
        <w:jc w:val="left"/>
        <w:rPr>
          <w:rFonts w:asciiTheme="minorEastAsia" w:hAnsiTheme="minorEastAsia"/>
          <w:sz w:val="24"/>
          <w:szCs w:val="24"/>
        </w:rPr>
      </w:pPr>
      <w:r>
        <w:rPr>
          <w:rFonts w:hint="eastAsia" w:asciiTheme="minorEastAsia" w:hAnsiTheme="minorEastAsia"/>
          <w:sz w:val="24"/>
          <w:szCs w:val="24"/>
        </w:rPr>
        <w:t>“单未下，货先行”，海外仓为中国卖家与海外消费者搭建起桥梁。疫情影响下，借助海外仓模式，中国卖家实现了销量逆势增长。</w:t>
      </w:r>
    </w:p>
    <w:p>
      <w:pPr>
        <w:spacing w:line="440" w:lineRule="exact"/>
        <w:ind w:firstLine="480" w:firstLineChars="200"/>
        <w:jc w:val="left"/>
        <w:rPr>
          <w:rFonts w:asciiTheme="minorEastAsia" w:hAnsiTheme="minorEastAsia"/>
          <w:sz w:val="24"/>
          <w:szCs w:val="24"/>
        </w:rPr>
      </w:pPr>
      <w:r>
        <w:rPr>
          <w:rFonts w:hint="eastAsia" w:asciiTheme="minorEastAsia" w:hAnsiTheme="minorEastAsia"/>
          <w:sz w:val="24"/>
          <w:szCs w:val="24"/>
        </w:rPr>
        <w:t>商务部部长王文涛近日在谈及2021年稳外贸举措时表示，要扩大海外仓规模。目前，中国海外仓建设正加快推进。</w:t>
      </w:r>
    </w:p>
    <w:p>
      <w:pPr>
        <w:spacing w:line="440" w:lineRule="exact"/>
        <w:ind w:firstLine="480" w:firstLineChars="200"/>
        <w:jc w:val="left"/>
        <w:rPr>
          <w:rFonts w:asciiTheme="minorEastAsia" w:hAnsiTheme="minorEastAsia"/>
          <w:sz w:val="24"/>
          <w:szCs w:val="24"/>
        </w:rPr>
      </w:pPr>
      <w:r>
        <w:rPr>
          <w:rFonts w:hint="eastAsia" w:asciiTheme="minorEastAsia" w:hAnsiTheme="minorEastAsia"/>
          <w:sz w:val="24"/>
          <w:szCs w:val="24"/>
        </w:rPr>
        <w:t>海外仓模式有何好处？未来如何进一步助力跨境电商发展？</w:t>
      </w:r>
    </w:p>
    <w:p>
      <w:pPr>
        <w:spacing w:line="440" w:lineRule="exact"/>
        <w:ind w:firstLine="482" w:firstLineChars="200"/>
        <w:jc w:val="left"/>
        <w:rPr>
          <w:rFonts w:asciiTheme="minorEastAsia" w:hAnsiTheme="minorEastAsia"/>
          <w:b/>
          <w:bCs/>
          <w:sz w:val="24"/>
          <w:szCs w:val="24"/>
        </w:rPr>
      </w:pPr>
      <w:r>
        <w:rPr>
          <w:rFonts w:hint="eastAsia" w:asciiTheme="minorEastAsia" w:hAnsiTheme="minorEastAsia"/>
          <w:b/>
          <w:bCs/>
          <w:sz w:val="24"/>
          <w:szCs w:val="24"/>
        </w:rPr>
        <w:t>全球布局，为跨境电商加油助力</w:t>
      </w:r>
    </w:p>
    <w:p>
      <w:pPr>
        <w:spacing w:line="440" w:lineRule="exact"/>
        <w:ind w:firstLine="480" w:firstLineChars="200"/>
        <w:jc w:val="left"/>
        <w:rPr>
          <w:rFonts w:asciiTheme="minorEastAsia" w:hAnsiTheme="minorEastAsia"/>
          <w:sz w:val="24"/>
          <w:szCs w:val="24"/>
        </w:rPr>
      </w:pPr>
      <w:r>
        <w:rPr>
          <w:rFonts w:hint="eastAsia" w:asciiTheme="minorEastAsia" w:hAnsiTheme="minorEastAsia"/>
          <w:sz w:val="24"/>
          <w:szCs w:val="24"/>
        </w:rPr>
        <w:t>自营40万平方米的海外仓，在全球多个国家建立了20个仓储和营销中心……宁波豪雅进出口集团有限公司是宁波跨境电商领军企业，2020年凭借成熟的海外仓模式，集团经营业绩比2019年翻了一番。</w:t>
      </w:r>
    </w:p>
    <w:p>
      <w:pPr>
        <w:spacing w:line="440" w:lineRule="exact"/>
        <w:ind w:firstLine="480" w:firstLineChars="200"/>
        <w:jc w:val="left"/>
        <w:rPr>
          <w:rFonts w:asciiTheme="minorEastAsia" w:hAnsiTheme="minorEastAsia"/>
          <w:sz w:val="24"/>
          <w:szCs w:val="24"/>
        </w:rPr>
      </w:pPr>
      <w:r>
        <w:rPr>
          <w:rFonts w:hint="eastAsia" w:asciiTheme="minorEastAsia" w:hAnsiTheme="minorEastAsia"/>
          <w:sz w:val="24"/>
          <w:szCs w:val="24"/>
        </w:rPr>
        <w:t>10年前，豪雅集团主营的是单价低、利润薄的日用商品。如今，集团已经在欧美市场上销售超20个品类1.5万多种产品，日均订单量超3万单。海外仓是豪雅集团从传统外贸企业成功转型的秘诀。40万平方米的海外仓，不仅实现了海外仓储功能，还同时具备运输、销售等综合功能，能够为出口企业提供专业化仓储服务。</w:t>
      </w:r>
    </w:p>
    <w:p>
      <w:pPr>
        <w:spacing w:line="440" w:lineRule="exact"/>
        <w:ind w:firstLine="480" w:firstLineChars="200"/>
        <w:jc w:val="left"/>
        <w:rPr>
          <w:rFonts w:asciiTheme="minorEastAsia" w:hAnsiTheme="minorEastAsia"/>
          <w:sz w:val="24"/>
          <w:szCs w:val="24"/>
        </w:rPr>
      </w:pPr>
      <w:r>
        <w:rPr>
          <w:rFonts w:hint="eastAsia" w:asciiTheme="minorEastAsia" w:hAnsiTheme="minorEastAsia"/>
          <w:sz w:val="24"/>
          <w:szCs w:val="24"/>
        </w:rPr>
        <w:t>黑龙江俄速通国际物流有限公司于2015年在俄罗斯莫斯科开仓，是中国跨境电商在俄罗斯建立的首个海外仓，占地面积1.1万平方米，对接俄罗斯本土快递，最快可实现当日送达；福建纵腾网络有限公司为跨境电商卖家提供第三方服务，在全球拥有36个海外仓，占地面积约70万平方米，为海外消费者和中国卖家搭建起“中转驿站”……商务部网站日前公布首批海外仓优秀实践案例，豪雅集团、俄速通、纵腾集团等7家企业上榜。</w:t>
      </w:r>
    </w:p>
    <w:p>
      <w:pPr>
        <w:spacing w:line="440" w:lineRule="exact"/>
        <w:ind w:firstLine="480" w:firstLineChars="200"/>
        <w:jc w:val="left"/>
        <w:rPr>
          <w:rFonts w:asciiTheme="minorEastAsia" w:hAnsiTheme="minorEastAsia"/>
          <w:sz w:val="24"/>
          <w:szCs w:val="24"/>
        </w:rPr>
      </w:pPr>
      <w:r>
        <w:rPr>
          <w:rFonts w:hint="eastAsia" w:asciiTheme="minorEastAsia" w:hAnsiTheme="minorEastAsia"/>
          <w:sz w:val="24"/>
          <w:szCs w:val="24"/>
        </w:rPr>
        <w:t>据统计，中国目前已有超过1800个海外仓，分布在俄罗斯、日本、韩国、美国等国家和地区。按类型来分，中国的海外仓主要分为三类：为跨境电商卖家提供第三方服务的海外仓；拥有跨境电商平台、主要为平台客户提供服务的平台型海外仓；成长性好、发展潜力较大且具有一定特色的成长型海外仓。</w:t>
      </w:r>
    </w:p>
    <w:p>
      <w:pPr>
        <w:spacing w:line="440" w:lineRule="exact"/>
        <w:ind w:firstLine="480" w:firstLineChars="200"/>
        <w:jc w:val="left"/>
        <w:rPr>
          <w:rFonts w:asciiTheme="minorEastAsia" w:hAnsiTheme="minorEastAsia"/>
          <w:sz w:val="24"/>
          <w:szCs w:val="24"/>
        </w:rPr>
      </w:pPr>
      <w:r>
        <w:rPr>
          <w:rFonts w:hint="eastAsia" w:asciiTheme="minorEastAsia" w:hAnsiTheme="minorEastAsia"/>
          <w:sz w:val="24"/>
          <w:szCs w:val="24"/>
        </w:rPr>
        <w:t>中国海外仓布点越来越密，这背后是跨境电商的迅速崛起。</w:t>
      </w:r>
    </w:p>
    <w:p>
      <w:pPr>
        <w:spacing w:line="440" w:lineRule="exact"/>
        <w:ind w:firstLine="480" w:firstLineChars="200"/>
        <w:jc w:val="left"/>
        <w:rPr>
          <w:rFonts w:asciiTheme="minorEastAsia" w:hAnsiTheme="minorEastAsia"/>
          <w:sz w:val="24"/>
          <w:szCs w:val="24"/>
        </w:rPr>
      </w:pPr>
      <w:r>
        <w:rPr>
          <w:rFonts w:hint="eastAsia" w:asciiTheme="minorEastAsia" w:hAnsiTheme="minorEastAsia"/>
          <w:sz w:val="24"/>
          <w:szCs w:val="24"/>
        </w:rPr>
        <w:t>海关总署统计分析司司长李魁文表示，作为新兴贸易业态，跨境电商凭借其线上交易、非接触式交货、交易链条短等优势逆风上扬，为外贸企业应对疫情冲击发挥了积极作用。疫情期间，跨境电商进出口贸易额不降反升，成为稳外贸的重要力量。前三季度，中国通过海关跨境电商管理平台进出口1873.9亿元，同比增长52.8%；全年验放进出口清单24.5亿票，同比增长63.3%。“海外仓已成为跨境电商发展不可缺少的重要环节和重要平台。通过在目的地国设立海外仓，再把商品以批量的方式运输过去，根据当地市场进行分拣、包装、运输等步骤，能够有效提升物流效率并降低综合运营成本。”商务部研究院区域经济合作研究中心主任张建平对本报记者表示。</w:t>
      </w:r>
    </w:p>
    <w:p>
      <w:pPr>
        <w:spacing w:line="440" w:lineRule="exact"/>
        <w:ind w:firstLine="482" w:firstLineChars="200"/>
        <w:jc w:val="left"/>
        <w:rPr>
          <w:rFonts w:asciiTheme="minorEastAsia" w:hAnsiTheme="minorEastAsia"/>
          <w:b/>
          <w:bCs/>
          <w:sz w:val="24"/>
          <w:szCs w:val="24"/>
        </w:rPr>
      </w:pPr>
      <w:r>
        <w:rPr>
          <w:rFonts w:hint="eastAsia" w:asciiTheme="minorEastAsia" w:hAnsiTheme="minorEastAsia"/>
          <w:b/>
          <w:bCs/>
          <w:sz w:val="24"/>
          <w:szCs w:val="24"/>
        </w:rPr>
        <w:t>配送提速，让中国货尽快送达</w:t>
      </w:r>
    </w:p>
    <w:p>
      <w:pPr>
        <w:spacing w:line="440" w:lineRule="exact"/>
        <w:ind w:firstLine="480" w:firstLineChars="200"/>
        <w:jc w:val="left"/>
        <w:rPr>
          <w:rFonts w:asciiTheme="minorEastAsia" w:hAnsiTheme="minorEastAsia"/>
          <w:sz w:val="24"/>
          <w:szCs w:val="24"/>
        </w:rPr>
      </w:pPr>
      <w:r>
        <w:rPr>
          <w:rFonts w:hint="eastAsia" w:asciiTheme="minorEastAsia" w:hAnsiTheme="minorEastAsia"/>
          <w:sz w:val="24"/>
          <w:szCs w:val="24"/>
        </w:rPr>
        <w:t>2020年“双11”期间，西班牙一名消费者在全球速卖通平台上购买了一台中国生产的电视机，通过海外仓发货，下单后半天就送到了家中。</w:t>
      </w:r>
    </w:p>
    <w:p>
      <w:pPr>
        <w:spacing w:line="440" w:lineRule="exact"/>
        <w:ind w:firstLine="480" w:firstLineChars="200"/>
        <w:jc w:val="left"/>
        <w:rPr>
          <w:rFonts w:asciiTheme="minorEastAsia" w:hAnsiTheme="minorEastAsia"/>
          <w:sz w:val="24"/>
          <w:szCs w:val="24"/>
        </w:rPr>
      </w:pPr>
      <w:r>
        <w:rPr>
          <w:rFonts w:hint="eastAsia" w:asciiTheme="minorEastAsia" w:hAnsiTheme="minorEastAsia"/>
          <w:sz w:val="24"/>
          <w:szCs w:val="24"/>
        </w:rPr>
        <w:t>海外仓，已经成为“中国制造”“走出去”的新驿站。商务部有关负责人表示，跨境电商等新业态正在为中国外贸发展提供新空间、新动能，海外仓是跨境电商企业在境外实现本土化运营的重要依托。</w:t>
      </w:r>
    </w:p>
    <w:p>
      <w:pPr>
        <w:spacing w:line="440" w:lineRule="exact"/>
        <w:ind w:firstLine="480" w:firstLineChars="200"/>
        <w:jc w:val="left"/>
        <w:rPr>
          <w:rFonts w:asciiTheme="minorEastAsia" w:hAnsiTheme="minorEastAsia"/>
          <w:sz w:val="24"/>
          <w:szCs w:val="24"/>
        </w:rPr>
      </w:pPr>
      <w:r>
        <w:rPr>
          <w:rFonts w:hint="eastAsia" w:asciiTheme="minorEastAsia" w:hAnsiTheme="minorEastAsia"/>
          <w:sz w:val="24"/>
          <w:szCs w:val="24"/>
        </w:rPr>
        <w:t>物流更快，消费者体验更好。与传统物流模式相比，海外仓采取了“单未下，货先行”的运营模式。在目的地国就近发货，大大缩减了运输时间。在印尼，依托于京东搭建的仓配一体化物流，配送服务覆盖7大岛屿和483个城市，85%订单的配送时效从5-7天缩短为1天内交付。</w:t>
      </w:r>
    </w:p>
    <w:p>
      <w:pPr>
        <w:spacing w:line="440" w:lineRule="exact"/>
        <w:ind w:firstLine="480" w:firstLineChars="200"/>
        <w:jc w:val="left"/>
        <w:rPr>
          <w:rFonts w:asciiTheme="minorEastAsia" w:hAnsiTheme="minorEastAsia"/>
          <w:sz w:val="24"/>
          <w:szCs w:val="24"/>
        </w:rPr>
      </w:pPr>
      <w:r>
        <w:rPr>
          <w:rFonts w:hint="eastAsia" w:asciiTheme="minorEastAsia" w:hAnsiTheme="minorEastAsia"/>
          <w:sz w:val="24"/>
          <w:szCs w:val="24"/>
        </w:rPr>
        <w:t>商家供应链规划更加合理有序。菜鸟出口物流事业部总经理熊伟对本报记者表示：“海外仓的模式让商家可以自主规划出口哪些商品、在什么时间出口、运到哪些市场，提前让商品抵达目的国，更好地规划供应链。”</w:t>
      </w:r>
    </w:p>
    <w:p>
      <w:pPr>
        <w:spacing w:line="440" w:lineRule="exact"/>
        <w:ind w:firstLine="480" w:firstLineChars="200"/>
        <w:jc w:val="left"/>
        <w:rPr>
          <w:rFonts w:asciiTheme="minorEastAsia" w:hAnsiTheme="minorEastAsia"/>
          <w:sz w:val="24"/>
          <w:szCs w:val="24"/>
        </w:rPr>
      </w:pPr>
      <w:r>
        <w:rPr>
          <w:rFonts w:hint="eastAsia" w:asciiTheme="minorEastAsia" w:hAnsiTheme="minorEastAsia"/>
          <w:sz w:val="24"/>
          <w:szCs w:val="24"/>
        </w:rPr>
        <w:t>近年来，海外仓作为稳外贸的重要举措之一，得到国家大力支持。2014年，《关于支持外贸稳定增长的若干意见》提出建设海外仓等国际营销网络；2016年《政府工作报告》明确提出支持企业建设一批出口产品海外仓；2020年11月，国务院发布《关于推进对外贸易创新发展的实施意见》，明确指出要促进跨境电商等新业态发展，包括“支持建设一批海外仓”。</w:t>
      </w:r>
    </w:p>
    <w:p>
      <w:pPr>
        <w:spacing w:line="440" w:lineRule="exact"/>
        <w:ind w:firstLine="480" w:firstLineChars="200"/>
        <w:jc w:val="left"/>
        <w:rPr>
          <w:rFonts w:asciiTheme="minorEastAsia" w:hAnsiTheme="minorEastAsia"/>
          <w:sz w:val="24"/>
          <w:szCs w:val="24"/>
        </w:rPr>
      </w:pPr>
      <w:r>
        <w:rPr>
          <w:rFonts w:hint="eastAsia" w:asciiTheme="minorEastAsia" w:hAnsiTheme="minorEastAsia"/>
          <w:sz w:val="24"/>
          <w:szCs w:val="24"/>
        </w:rPr>
        <w:t>2020年7月，海关总署开展跨境电商对企业（B2B）出口试点，增列了全称“跨境电子商务企业对企业直接出口”的海关监管方式代码“9710”以及全称“跨境电子商务出口海外仓”的海关监管方式代码“9810”，海外仓出口有了专用通道。目前共有22个直属海关开展试点，试点企业可适用“一次登记、一点对接、优先查验、允许转关、便利退货”等措施，中小微企业单票价值低的货物还可选择更加便捷的通关渠道，申报单量、出口货值稳步上升。</w:t>
      </w:r>
    </w:p>
    <w:p>
      <w:pPr>
        <w:spacing w:line="440" w:lineRule="exact"/>
        <w:ind w:firstLine="480" w:firstLineChars="200"/>
        <w:jc w:val="left"/>
        <w:rPr>
          <w:rFonts w:asciiTheme="minorEastAsia" w:hAnsiTheme="minorEastAsia"/>
          <w:sz w:val="24"/>
          <w:szCs w:val="24"/>
        </w:rPr>
      </w:pPr>
      <w:r>
        <w:rPr>
          <w:rFonts w:hint="eastAsia" w:asciiTheme="minorEastAsia" w:hAnsiTheme="minorEastAsia"/>
          <w:sz w:val="24"/>
          <w:szCs w:val="24"/>
        </w:rPr>
        <w:t>在政策支持下，如今的海外仓已经脱离传统仓库模式，成为具备多重功能、提供综合服务的智能化仓库。不仅可以为外贸企业提供一站式通关、合规咨询、高质量售后、个性化定制等服务，还建立起“门对门”物流体系，提高物流效率，实现了本土化运营。</w:t>
      </w:r>
    </w:p>
    <w:p>
      <w:pPr>
        <w:spacing w:line="440" w:lineRule="exact"/>
        <w:ind w:firstLine="482" w:firstLineChars="200"/>
        <w:jc w:val="left"/>
        <w:rPr>
          <w:rFonts w:asciiTheme="minorEastAsia" w:hAnsiTheme="minorEastAsia"/>
          <w:b/>
          <w:bCs/>
          <w:sz w:val="24"/>
          <w:szCs w:val="24"/>
        </w:rPr>
      </w:pPr>
      <w:r>
        <w:rPr>
          <w:rFonts w:hint="eastAsia" w:asciiTheme="minorEastAsia" w:hAnsiTheme="minorEastAsia"/>
          <w:b/>
          <w:bCs/>
          <w:sz w:val="24"/>
          <w:szCs w:val="24"/>
        </w:rPr>
        <w:t>拥抱机遇，构建新一代物流体系</w:t>
      </w:r>
    </w:p>
    <w:p>
      <w:pPr>
        <w:spacing w:line="440" w:lineRule="exact"/>
        <w:ind w:firstLine="480" w:firstLineChars="200"/>
        <w:jc w:val="left"/>
        <w:rPr>
          <w:rFonts w:asciiTheme="minorEastAsia" w:hAnsiTheme="minorEastAsia"/>
          <w:sz w:val="24"/>
          <w:szCs w:val="24"/>
        </w:rPr>
      </w:pPr>
      <w:r>
        <w:rPr>
          <w:rFonts w:hint="eastAsia" w:asciiTheme="minorEastAsia" w:hAnsiTheme="minorEastAsia"/>
          <w:sz w:val="24"/>
          <w:szCs w:val="24"/>
        </w:rPr>
        <w:t>疫情令全球消费者对线上购物的依赖增加，跨境电商迎来发展新机遇，企业正不断扩大全球海外仓布局，满足出口企业需要。浙江义乌丹均饰品有限公司副总经理胡冰说：“去年上半年由于物流没有保障，公司关闭了其他跨境平台，只保留了由菜鸟提供物流服务的速卖通店铺，但销售额同比翻了5倍！”中国外贸逆势增长，对海外仓的需求大增。</w:t>
      </w:r>
    </w:p>
    <w:p>
      <w:pPr>
        <w:spacing w:line="440" w:lineRule="exact"/>
        <w:ind w:firstLine="480" w:firstLineChars="200"/>
        <w:jc w:val="left"/>
        <w:rPr>
          <w:rFonts w:asciiTheme="minorEastAsia" w:hAnsiTheme="minorEastAsia"/>
          <w:sz w:val="24"/>
          <w:szCs w:val="24"/>
        </w:rPr>
      </w:pPr>
      <w:r>
        <w:rPr>
          <w:rFonts w:hint="eastAsia" w:asciiTheme="minorEastAsia" w:hAnsiTheme="minorEastAsia"/>
          <w:sz w:val="24"/>
          <w:szCs w:val="24"/>
        </w:rPr>
        <w:t>中国国际经济交流中心经济研究部副部长刘向东说：“为降低因疫情带来的跨境物流特别是冷链物流的风险，建设海外仓是确保供应链稳定畅通和实现供需有效适配的重要举措。目前，很多中国企业借助跨境电商渠道积极出海布局海外仓，有助于稳定出口和外贸，确保供应链畅通，助推海外市场布局。”</w:t>
      </w:r>
    </w:p>
    <w:p>
      <w:pPr>
        <w:spacing w:line="440" w:lineRule="exact"/>
        <w:ind w:firstLine="480" w:firstLineChars="200"/>
        <w:jc w:val="left"/>
        <w:rPr>
          <w:rFonts w:asciiTheme="minorEastAsia" w:hAnsiTheme="minorEastAsia"/>
          <w:sz w:val="24"/>
          <w:szCs w:val="24"/>
        </w:rPr>
      </w:pPr>
      <w:r>
        <w:rPr>
          <w:rFonts w:hint="eastAsia" w:asciiTheme="minorEastAsia" w:hAnsiTheme="minorEastAsia"/>
          <w:sz w:val="24"/>
          <w:szCs w:val="24"/>
        </w:rPr>
        <w:t>在缩短物流时间、助力跨境电商卖家抢占先机等方面，海外仓优势明显。但同时，海外仓建设面临着地缘政治、法律、市场等方面的合作风险，也存在基础建设薄弱、建设成本高、运力“抗压能力”不足等短板。</w:t>
      </w:r>
    </w:p>
    <w:p>
      <w:pPr>
        <w:spacing w:line="440" w:lineRule="exact"/>
        <w:ind w:firstLine="480" w:firstLineChars="200"/>
        <w:jc w:val="left"/>
        <w:rPr>
          <w:rFonts w:asciiTheme="minorEastAsia" w:hAnsiTheme="minorEastAsia"/>
          <w:sz w:val="24"/>
          <w:szCs w:val="24"/>
        </w:rPr>
      </w:pPr>
      <w:r>
        <w:rPr>
          <w:rFonts w:hint="eastAsia" w:asciiTheme="minorEastAsia" w:hAnsiTheme="minorEastAsia"/>
          <w:sz w:val="24"/>
          <w:szCs w:val="24"/>
        </w:rPr>
        <w:t>刘向东建议，对于海外投资经营风险，今后要深化国际合作，支持企业利用中国签订的自由贸易协定或投资协定规则，积极与当地社区搞好关系，履行好社会责任，切实推进海外仓实现本土化运营；对融资成本问题，要充分利用出口信贷等政策措施，创新跨境电商的商业模式，因地制宜开展自建、合资、租赁等多种方式建设海外仓，尽可能规避各种境外投资经营风险，切实提高投资建设海外仓的安全性和经济性；对跨境物流整合问题，要积极利用双边或多边政策，推进跨境通关便利化，优化海外仓点布局，丰富海外仓功能，以及加快探索各具特色的供应链优化整合路径。</w:t>
      </w:r>
    </w:p>
    <w:p>
      <w:pPr>
        <w:spacing w:line="440" w:lineRule="exact"/>
        <w:ind w:firstLine="480" w:firstLineChars="200"/>
        <w:jc w:val="left"/>
        <w:rPr>
          <w:rFonts w:asciiTheme="minorEastAsia" w:hAnsiTheme="minorEastAsia"/>
          <w:sz w:val="24"/>
          <w:szCs w:val="24"/>
        </w:rPr>
      </w:pPr>
      <w:r>
        <w:rPr>
          <w:rFonts w:hint="eastAsia" w:asciiTheme="minorEastAsia" w:hAnsiTheme="minorEastAsia"/>
          <w:sz w:val="24"/>
          <w:szCs w:val="24"/>
        </w:rPr>
        <w:t>2020年，RCEP的签署对跨境电商发展和海外仓建设来说都是新的历史性机遇。刘向东指出，RCEP包含了削减关税等有助于提高中小企业出口竞争力、促进生产要素区域内自由流动等内容，为跨境电商企业开展海外仓建设提供了便利。无纸化贸易、电子认证和签名有效性等规则，有利于海外仓智能化建设，同时提高跨境物流的时效性和配送准点率。此外，对于数据跨境流动和存储，RCEP也作出相应规定，可以有效防范跨境电商运营中的相关风险。</w:t>
      </w:r>
    </w:p>
    <w:p>
      <w:pPr>
        <w:spacing w:line="440" w:lineRule="exact"/>
        <w:ind w:firstLine="480" w:firstLineChars="200"/>
        <w:jc w:val="left"/>
        <w:rPr>
          <w:rFonts w:asciiTheme="minorEastAsia" w:hAnsiTheme="minorEastAsia"/>
          <w:sz w:val="24"/>
          <w:szCs w:val="24"/>
        </w:rPr>
      </w:pPr>
      <w:r>
        <w:rPr>
          <w:rFonts w:hint="eastAsia" w:asciiTheme="minorEastAsia" w:hAnsiTheme="minorEastAsia"/>
          <w:sz w:val="24"/>
          <w:szCs w:val="24"/>
        </w:rPr>
        <w:t>张建平表示：“预计未来海外仓数量将越来越多，运营效率将越来越高。特别是新一代智能物流体系的构建，将让海外仓发挥更加重要的作用，助力跨境电商为稳外贸作出更大贡献。”</w:t>
      </w:r>
    </w:p>
    <w:p>
      <w:pPr>
        <w:spacing w:line="440" w:lineRule="exact"/>
        <w:ind w:firstLine="480" w:firstLineChars="200"/>
        <w:jc w:val="left"/>
        <w:rPr>
          <w:rFonts w:asciiTheme="minorEastAsia" w:hAnsiTheme="minorEastAsia"/>
          <w:sz w:val="24"/>
          <w:szCs w:val="24"/>
        </w:rPr>
      </w:pPr>
      <w:r>
        <w:rPr>
          <w:rFonts w:hint="eastAsia" w:asciiTheme="minorEastAsia" w:hAnsiTheme="minorEastAsia"/>
          <w:sz w:val="24"/>
          <w:szCs w:val="24"/>
        </w:rPr>
        <w:t>海外仓，“中国制造”“走出去”的新驿站</w:t>
      </w:r>
    </w:p>
    <w:p>
      <w:pPr>
        <w:spacing w:line="440" w:lineRule="exact"/>
        <w:ind w:firstLine="480" w:firstLineChars="200"/>
        <w:jc w:val="left"/>
        <w:rPr>
          <w:rFonts w:asciiTheme="minorEastAsia" w:hAnsiTheme="minorEastAsia"/>
          <w:sz w:val="24"/>
          <w:szCs w:val="24"/>
        </w:rPr>
      </w:pPr>
      <w:r>
        <w:rPr>
          <w:rFonts w:hint="eastAsia" w:asciiTheme="minorEastAsia" w:hAnsiTheme="minorEastAsia"/>
          <w:sz w:val="24"/>
          <w:szCs w:val="24"/>
        </w:rPr>
        <w:t>● 中国目前已有超过1800个海外仓，分布在俄罗斯、日本、韩国、美国等国家和地区。</w:t>
      </w:r>
    </w:p>
    <w:p>
      <w:pPr>
        <w:spacing w:line="440" w:lineRule="exact"/>
        <w:ind w:firstLine="480" w:firstLineChars="200"/>
        <w:jc w:val="left"/>
        <w:rPr>
          <w:rFonts w:asciiTheme="minorEastAsia" w:hAnsiTheme="minorEastAsia"/>
          <w:sz w:val="24"/>
          <w:szCs w:val="24"/>
        </w:rPr>
      </w:pPr>
      <w:r>
        <w:rPr>
          <w:rFonts w:hint="eastAsia" w:asciiTheme="minorEastAsia" w:hAnsiTheme="minorEastAsia"/>
          <w:sz w:val="24"/>
          <w:szCs w:val="24"/>
        </w:rPr>
        <w:t>● 中国海外仓主要分为三类：</w:t>
      </w:r>
    </w:p>
    <w:p>
      <w:pPr>
        <w:spacing w:line="440" w:lineRule="exact"/>
        <w:ind w:firstLine="480" w:firstLineChars="200"/>
        <w:jc w:val="left"/>
        <w:rPr>
          <w:rFonts w:asciiTheme="minorEastAsia" w:hAnsiTheme="minorEastAsia"/>
          <w:sz w:val="24"/>
          <w:szCs w:val="24"/>
        </w:rPr>
      </w:pPr>
      <w:r>
        <w:rPr>
          <w:rFonts w:hint="eastAsia" w:asciiTheme="minorEastAsia" w:hAnsiTheme="minorEastAsia"/>
          <w:sz w:val="24"/>
          <w:szCs w:val="24"/>
        </w:rPr>
        <w:t>——为跨境电商卖家提供第三方服务的海外仓；</w:t>
      </w:r>
    </w:p>
    <w:p>
      <w:pPr>
        <w:spacing w:line="440" w:lineRule="exact"/>
        <w:ind w:firstLine="480" w:firstLineChars="200"/>
        <w:jc w:val="left"/>
        <w:rPr>
          <w:rFonts w:asciiTheme="minorEastAsia" w:hAnsiTheme="minorEastAsia"/>
          <w:sz w:val="24"/>
          <w:szCs w:val="24"/>
        </w:rPr>
      </w:pPr>
      <w:r>
        <w:rPr>
          <w:rFonts w:hint="eastAsia" w:asciiTheme="minorEastAsia" w:hAnsiTheme="minorEastAsia"/>
          <w:sz w:val="24"/>
          <w:szCs w:val="24"/>
        </w:rPr>
        <w:t>——拥有跨境电商平台、主要为平台客户提供服务的平台型海外仓；</w:t>
      </w:r>
    </w:p>
    <w:p>
      <w:pPr>
        <w:spacing w:line="440" w:lineRule="exact"/>
        <w:ind w:firstLine="480" w:firstLineChars="200"/>
        <w:jc w:val="left"/>
        <w:rPr>
          <w:rFonts w:asciiTheme="minorEastAsia" w:hAnsiTheme="minorEastAsia"/>
          <w:sz w:val="24"/>
          <w:szCs w:val="24"/>
        </w:rPr>
      </w:pPr>
      <w:r>
        <w:rPr>
          <w:rFonts w:hint="eastAsia" w:asciiTheme="minorEastAsia" w:hAnsiTheme="minorEastAsia"/>
          <w:sz w:val="24"/>
          <w:szCs w:val="24"/>
        </w:rPr>
        <w:t>——成长性好、发展潜力较大，且具有一定特色的成长型海外仓。</w:t>
      </w:r>
    </w:p>
    <w:p>
      <w:pPr>
        <w:spacing w:line="440" w:lineRule="exact"/>
        <w:ind w:firstLine="480" w:firstLineChars="200"/>
        <w:jc w:val="left"/>
        <w:rPr>
          <w:rFonts w:asciiTheme="minorEastAsia" w:hAnsiTheme="minorEastAsia"/>
          <w:sz w:val="24"/>
          <w:szCs w:val="24"/>
        </w:rPr>
      </w:pPr>
      <w:r>
        <w:rPr>
          <w:rFonts w:hint="eastAsia" w:asciiTheme="minorEastAsia" w:hAnsiTheme="minorEastAsia"/>
          <w:sz w:val="24"/>
          <w:szCs w:val="24"/>
        </w:rPr>
        <w:t>● 2020年7月，海关总署开展跨境电商对企业（B2B）出口试点，海外仓出口有了专用通道。</w:t>
      </w:r>
    </w:p>
    <w:p>
      <w:pPr>
        <w:spacing w:line="440" w:lineRule="exact"/>
        <w:jc w:val="left"/>
        <w:rPr>
          <w:rFonts w:asciiTheme="minorEastAsia" w:hAnsiTheme="minorEastAsia"/>
          <w:sz w:val="24"/>
          <w:szCs w:val="24"/>
        </w:rPr>
        <w:sectPr>
          <w:type w:val="continuous"/>
          <w:pgSz w:w="11906" w:h="16838"/>
          <w:pgMar w:top="1440" w:right="1800" w:bottom="1440" w:left="1800" w:header="851" w:footer="992" w:gutter="0"/>
          <w:cols w:space="425" w:num="2"/>
          <w:docGrid w:type="lines" w:linePitch="312" w:charSpace="0"/>
        </w:sectPr>
      </w:pPr>
      <w:r>
        <w:rPr>
          <w:rFonts w:hint="eastAsia" w:asciiTheme="minorEastAsia" w:hAnsiTheme="minorEastAsia"/>
          <w:sz w:val="24"/>
          <w:szCs w:val="24"/>
        </w:rPr>
        <w:t>（人民网    01-19）</w:t>
      </w:r>
    </w:p>
    <w:p>
      <w:pPr>
        <w:spacing w:line="440" w:lineRule="exact"/>
        <w:ind w:firstLine="480" w:firstLineChars="200"/>
        <w:jc w:val="left"/>
        <w:rPr>
          <w:rFonts w:asciiTheme="minorEastAsia" w:hAnsiTheme="minorEastAsia"/>
          <w:sz w:val="24"/>
          <w:szCs w:val="24"/>
        </w:rPr>
      </w:pPr>
    </w:p>
    <w:p>
      <w:pPr>
        <w:spacing w:line="440" w:lineRule="exact"/>
        <w:jc w:val="left"/>
        <w:rPr>
          <w:rFonts w:ascii="华文彩云" w:hAnsi="宋体" w:eastAsia="华文彩云"/>
          <w:sz w:val="36"/>
          <w:szCs w:val="36"/>
        </w:rPr>
      </w:pPr>
    </w:p>
    <w:p>
      <w:pPr>
        <w:spacing w:line="440" w:lineRule="exact"/>
        <w:jc w:val="left"/>
        <w:rPr>
          <w:rFonts w:ascii="华文彩云" w:hAnsi="宋体" w:eastAsia="华文彩云"/>
          <w:sz w:val="36"/>
          <w:szCs w:val="36"/>
        </w:rPr>
      </w:pPr>
    </w:p>
    <w:p>
      <w:pPr>
        <w:spacing w:line="440" w:lineRule="exact"/>
        <w:jc w:val="left"/>
        <w:rPr>
          <w:rFonts w:ascii="华文彩云" w:hAnsi="宋体" w:eastAsia="华文彩云"/>
          <w:sz w:val="36"/>
          <w:szCs w:val="36"/>
        </w:rPr>
      </w:pPr>
    </w:p>
    <w:p>
      <w:pPr>
        <w:spacing w:line="440" w:lineRule="exact"/>
        <w:jc w:val="left"/>
        <w:rPr>
          <w:rFonts w:ascii="华文彩云" w:hAnsi="宋体" w:eastAsia="华文彩云"/>
          <w:sz w:val="36"/>
          <w:szCs w:val="36"/>
        </w:rPr>
      </w:pPr>
    </w:p>
    <w:p>
      <w:pPr>
        <w:spacing w:line="440" w:lineRule="exact"/>
        <w:jc w:val="left"/>
        <w:rPr>
          <w:rFonts w:ascii="华文彩云" w:hAnsi="宋体" w:eastAsia="华文彩云"/>
          <w:sz w:val="36"/>
          <w:szCs w:val="36"/>
        </w:rPr>
      </w:pPr>
    </w:p>
    <w:p>
      <w:pPr>
        <w:spacing w:line="440" w:lineRule="exact"/>
        <w:jc w:val="left"/>
        <w:rPr>
          <w:rFonts w:ascii="华文彩云" w:hAnsi="宋体" w:eastAsia="华文彩云"/>
          <w:sz w:val="36"/>
          <w:szCs w:val="36"/>
        </w:rPr>
        <w:sectPr>
          <w:type w:val="continuous"/>
          <w:pgSz w:w="11906" w:h="16838"/>
          <w:pgMar w:top="1440" w:right="1800" w:bottom="1440" w:left="1800" w:header="851" w:footer="992" w:gutter="0"/>
          <w:cols w:space="425" w:num="1"/>
          <w:docGrid w:type="lines" w:linePitch="312" w:charSpace="0"/>
        </w:sectPr>
      </w:pPr>
    </w:p>
    <w:p>
      <w:pPr>
        <w:spacing w:line="440" w:lineRule="exact"/>
        <w:jc w:val="left"/>
        <w:rPr>
          <w:rFonts w:ascii="华文彩云" w:hAnsi="宋体" w:eastAsia="华文彩云"/>
          <w:sz w:val="36"/>
          <w:szCs w:val="36"/>
        </w:rPr>
      </w:pPr>
    </w:p>
    <w:p>
      <w:pPr>
        <w:spacing w:line="440" w:lineRule="exact"/>
        <w:jc w:val="left"/>
        <w:rPr>
          <w:rFonts w:ascii="华文彩云" w:hAnsi="宋体" w:eastAsia="华文彩云"/>
          <w:sz w:val="36"/>
          <w:szCs w:val="36"/>
        </w:rPr>
        <w:sectPr>
          <w:type w:val="continuous"/>
          <w:pgSz w:w="11906" w:h="16838"/>
          <w:pgMar w:top="1440" w:right="1800" w:bottom="1440" w:left="1800" w:header="851" w:footer="992" w:gutter="0"/>
          <w:cols w:space="425" w:num="1"/>
          <w:docGrid w:type="lines" w:linePitch="312" w:charSpace="0"/>
        </w:sectPr>
      </w:pPr>
    </w:p>
    <w:p>
      <w:pPr>
        <w:spacing w:line="440" w:lineRule="exact"/>
        <w:jc w:val="left"/>
        <w:rPr>
          <w:rFonts w:ascii="华文彩云" w:hAnsi="宋体" w:eastAsia="华文彩云"/>
          <w:sz w:val="36"/>
          <w:szCs w:val="36"/>
        </w:rPr>
      </w:pPr>
      <w:r>
        <w:rPr>
          <w:rFonts w:hint="eastAsia" w:ascii="华文彩云" w:hAnsi="宋体" w:eastAsia="华文彩云"/>
          <w:sz w:val="36"/>
          <w:szCs w:val="36"/>
        </w:rPr>
        <w:t>◎</w:t>
      </w:r>
      <w:r>
        <w:rPr>
          <w:rFonts w:hint="eastAsia" w:ascii="华文彩云" w:hAnsi="宋体" w:eastAsia="华文彩云"/>
          <w:b/>
          <w:sz w:val="36"/>
          <w:szCs w:val="36"/>
        </w:rPr>
        <w:t>政策法规</w:t>
      </w:r>
    </w:p>
    <w:p>
      <w:pPr>
        <w:spacing w:line="440" w:lineRule="exact"/>
        <w:jc w:val="left"/>
        <w:rPr>
          <w:rFonts w:asciiTheme="minorEastAsia" w:hAnsiTheme="minorEastAsia"/>
          <w:sz w:val="24"/>
          <w:szCs w:val="24"/>
        </w:rPr>
      </w:pPr>
    </w:p>
    <w:p>
      <w:pPr>
        <w:spacing w:line="440" w:lineRule="exact"/>
        <w:ind w:firstLine="720" w:firstLineChars="200"/>
        <w:jc w:val="center"/>
        <w:rPr>
          <w:rFonts w:hint="eastAsia" w:ascii="楷体_GB2312" w:eastAsia="楷体_GB2312" w:hAnsiTheme="minorEastAsia"/>
          <w:sz w:val="36"/>
          <w:szCs w:val="36"/>
        </w:rPr>
      </w:pPr>
    </w:p>
    <w:p>
      <w:pPr>
        <w:spacing w:line="440" w:lineRule="exact"/>
        <w:ind w:firstLine="723" w:firstLineChars="200"/>
        <w:jc w:val="center"/>
        <w:rPr>
          <w:rFonts w:ascii="楷体_GB2312" w:eastAsia="楷体_GB2312" w:hAnsiTheme="minorEastAsia"/>
          <w:b/>
          <w:bCs/>
          <w:sz w:val="36"/>
          <w:szCs w:val="36"/>
        </w:rPr>
      </w:pPr>
      <w:r>
        <w:rPr>
          <w:rFonts w:hint="eastAsia" w:ascii="楷体_GB2312" w:eastAsia="楷体_GB2312" w:hAnsiTheme="minorEastAsia"/>
          <w:b/>
          <w:bCs/>
          <w:sz w:val="36"/>
          <w:szCs w:val="36"/>
        </w:rPr>
        <w:t>商务部银保监会联合发文：</w:t>
      </w:r>
    </w:p>
    <w:p>
      <w:pPr>
        <w:spacing w:line="440" w:lineRule="exact"/>
        <w:ind w:firstLine="705"/>
        <w:jc w:val="center"/>
        <w:rPr>
          <w:rFonts w:asciiTheme="minorEastAsia" w:hAnsiTheme="minorEastAsia"/>
          <w:b/>
          <w:bCs/>
          <w:sz w:val="24"/>
          <w:szCs w:val="24"/>
        </w:rPr>
      </w:pPr>
      <w:r>
        <w:rPr>
          <w:rFonts w:hint="eastAsia" w:ascii="楷体_GB2312" w:eastAsia="楷体_GB2312" w:hAnsiTheme="minorEastAsia"/>
          <w:b/>
          <w:bCs/>
          <w:sz w:val="36"/>
          <w:szCs w:val="36"/>
        </w:rPr>
        <w:t>加大对重点外资企业金融支持力度</w:t>
      </w:r>
    </w:p>
    <w:p>
      <w:pPr>
        <w:spacing w:line="440" w:lineRule="exact"/>
        <w:jc w:val="left"/>
        <w:rPr>
          <w:rFonts w:asciiTheme="minorEastAsia" w:hAnsiTheme="minorEastAsia"/>
          <w:sz w:val="24"/>
          <w:szCs w:val="24"/>
        </w:rPr>
      </w:pPr>
    </w:p>
    <w:p>
      <w:pPr>
        <w:spacing w:line="440" w:lineRule="exact"/>
        <w:ind w:firstLine="480" w:firstLineChars="200"/>
        <w:rPr>
          <w:rFonts w:asciiTheme="minorEastAsia" w:hAnsiTheme="minorEastAsia"/>
          <w:sz w:val="24"/>
          <w:szCs w:val="24"/>
        </w:rPr>
        <w:sectPr>
          <w:type w:val="continuous"/>
          <w:pgSz w:w="11906" w:h="16838"/>
          <w:pgMar w:top="1440" w:right="1800" w:bottom="1440" w:left="1800" w:header="851" w:footer="992" w:gutter="0"/>
          <w:cols w:space="425" w:num="1"/>
          <w:docGrid w:type="lines" w:linePitch="312" w:charSpace="0"/>
        </w:sectPr>
      </w:pPr>
    </w:p>
    <w:p>
      <w:pPr>
        <w:spacing w:line="440" w:lineRule="exact"/>
        <w:ind w:firstLine="480" w:firstLineChars="200"/>
        <w:rPr>
          <w:rFonts w:asciiTheme="minorEastAsia" w:hAnsiTheme="minorEastAsia"/>
          <w:sz w:val="24"/>
          <w:szCs w:val="24"/>
        </w:rPr>
      </w:pPr>
      <w:r>
        <w:rPr>
          <w:rFonts w:hint="eastAsia" w:asciiTheme="minorEastAsia" w:hAnsiTheme="minorEastAsia"/>
          <w:sz w:val="24"/>
          <w:szCs w:val="24"/>
          <w:lang w:val="en-US" w:eastAsia="zh-CN"/>
        </w:rPr>
        <w:t>2020年</w:t>
      </w:r>
      <w:r>
        <w:rPr>
          <w:rFonts w:hint="eastAsia" w:asciiTheme="minorEastAsia" w:hAnsiTheme="minorEastAsia"/>
          <w:sz w:val="24"/>
          <w:szCs w:val="24"/>
        </w:rPr>
        <w:t>12月17日，商务部网站显示，日前已联合银保监会下发《关于贯彻落实国务院部署给予重点外资企业金融支持有关工作的通知》（下称“《通知》”），要求切实加大对重点外资企业金融支持力度。</w:t>
      </w:r>
    </w:p>
    <w:p>
      <w:pPr>
        <w:spacing w:line="440" w:lineRule="exact"/>
        <w:ind w:firstLine="480" w:firstLineChars="200"/>
        <w:rPr>
          <w:rFonts w:asciiTheme="minorEastAsia" w:hAnsiTheme="minorEastAsia"/>
          <w:sz w:val="24"/>
          <w:szCs w:val="24"/>
        </w:rPr>
      </w:pPr>
      <w:r>
        <w:rPr>
          <w:rFonts w:hint="eastAsia" w:asciiTheme="minorEastAsia" w:hAnsiTheme="minorEastAsia"/>
          <w:sz w:val="24"/>
          <w:szCs w:val="24"/>
        </w:rPr>
        <w:t>《通知》称，要进一步提高金融支持政策精准性、直达性，充分释放政策红利，优化融资环境，降低融资成本，切实帮助重点外资企业应对疫情冲击、化解融资难问题，保障资金链运转。</w:t>
      </w:r>
    </w:p>
    <w:p>
      <w:pPr>
        <w:spacing w:line="440" w:lineRule="exact"/>
        <w:ind w:firstLine="480" w:firstLineChars="200"/>
        <w:rPr>
          <w:rFonts w:asciiTheme="minorEastAsia" w:hAnsiTheme="minorEastAsia"/>
          <w:sz w:val="24"/>
          <w:szCs w:val="24"/>
        </w:rPr>
      </w:pPr>
      <w:r>
        <w:rPr>
          <w:rFonts w:hint="eastAsia" w:asciiTheme="minorEastAsia" w:hAnsiTheme="minorEastAsia"/>
          <w:sz w:val="24"/>
          <w:szCs w:val="24"/>
        </w:rPr>
        <w:t>《通知》具体指出，要按照内外资一致原则，确保外资企业同等适用1.5万亿元再贷款再贴现专项额度支持；进出口银行5700亿元新增贷款规模可用于积极支持符合条件的重点外资企业，加快落实新增贷款规模，增强实施方案针对性和可操作性。</w:t>
      </w:r>
    </w:p>
    <w:p>
      <w:pPr>
        <w:spacing w:line="440" w:lineRule="exact"/>
        <w:ind w:firstLine="480" w:firstLineChars="200"/>
        <w:rPr>
          <w:rFonts w:asciiTheme="minorEastAsia" w:hAnsiTheme="minorEastAsia"/>
          <w:sz w:val="24"/>
          <w:szCs w:val="24"/>
        </w:rPr>
      </w:pPr>
      <w:r>
        <w:rPr>
          <w:rFonts w:hint="eastAsia" w:asciiTheme="minorEastAsia" w:hAnsiTheme="minorEastAsia"/>
          <w:sz w:val="24"/>
          <w:szCs w:val="24"/>
        </w:rPr>
        <w:t>重点支持制造业关键环节外资企业</w:t>
      </w:r>
    </w:p>
    <w:p>
      <w:pPr>
        <w:spacing w:line="440" w:lineRule="exact"/>
        <w:ind w:firstLine="480" w:firstLineChars="200"/>
        <w:rPr>
          <w:rFonts w:asciiTheme="minorEastAsia" w:hAnsiTheme="minorEastAsia"/>
          <w:sz w:val="24"/>
          <w:szCs w:val="24"/>
        </w:rPr>
      </w:pPr>
      <w:r>
        <w:rPr>
          <w:rFonts w:hint="eastAsia" w:asciiTheme="minorEastAsia" w:hAnsiTheme="minorEastAsia"/>
          <w:sz w:val="24"/>
          <w:szCs w:val="24"/>
        </w:rPr>
        <w:t>今年以来，央行结合疫情防控和复工复产不同阶段面临的主要问题，分三批次分别增加3000亿元、5000亿元、1万亿元再贷款再贴现额度，支持抗疫保供、复工复产和实体经济发展。其中，3000亿元专项再贷款有力地支持了医疗和生活物资保供任务。</w:t>
      </w:r>
    </w:p>
    <w:p>
      <w:pPr>
        <w:spacing w:line="440" w:lineRule="exact"/>
        <w:ind w:firstLine="480" w:firstLineChars="200"/>
        <w:rPr>
          <w:rFonts w:asciiTheme="minorEastAsia" w:hAnsiTheme="minorEastAsia"/>
          <w:sz w:val="24"/>
          <w:szCs w:val="24"/>
        </w:rPr>
      </w:pPr>
      <w:r>
        <w:rPr>
          <w:rFonts w:hint="eastAsia" w:asciiTheme="minorEastAsia" w:hAnsiTheme="minorEastAsia"/>
          <w:sz w:val="24"/>
          <w:szCs w:val="24"/>
        </w:rPr>
        <w:t>据央行副行长刘国强介绍，截至6月末，5000亿元再贷款再贴现已基本执行完毕，支持了近60万家市场主体复工复产；截至9月末，1万亿元普惠性再贷款再贴现落实进度已超过80%，支持地方法人银行向140万户企业发放优惠利率贷款。</w:t>
      </w:r>
    </w:p>
    <w:p>
      <w:pPr>
        <w:spacing w:line="440" w:lineRule="exact"/>
        <w:ind w:firstLine="480" w:firstLineChars="200"/>
        <w:rPr>
          <w:rFonts w:asciiTheme="minorEastAsia" w:hAnsiTheme="minorEastAsia"/>
          <w:sz w:val="24"/>
          <w:szCs w:val="24"/>
        </w:rPr>
      </w:pPr>
      <w:r>
        <w:rPr>
          <w:rFonts w:hint="eastAsia" w:asciiTheme="minorEastAsia" w:hAnsiTheme="minorEastAsia"/>
          <w:sz w:val="24"/>
          <w:szCs w:val="24"/>
        </w:rPr>
        <w:t>而早在今年8月，国务院办公厅曾在下发的《关于进一步做好稳外贸稳外资工作的意见》中就明确提出：外资企业同等适用现有1.5万亿元再贷款再贴现专项额度支持；加大对重点外资企业的金融支持力度，进出口银行5700亿元新增贷款规模可用于积极支持符合条件的重点外资企业。</w:t>
      </w:r>
    </w:p>
    <w:p>
      <w:pPr>
        <w:spacing w:line="440" w:lineRule="exact"/>
        <w:ind w:firstLine="480" w:firstLineChars="200"/>
        <w:rPr>
          <w:rFonts w:asciiTheme="minorEastAsia" w:hAnsiTheme="minorEastAsia"/>
          <w:sz w:val="24"/>
          <w:szCs w:val="24"/>
        </w:rPr>
      </w:pPr>
      <w:r>
        <w:rPr>
          <w:rFonts w:hint="eastAsia" w:asciiTheme="minorEastAsia" w:hAnsiTheme="minorEastAsia"/>
          <w:sz w:val="24"/>
          <w:szCs w:val="24"/>
        </w:rPr>
        <w:t>《通知》具体指出，要按照内外贸一致原则，确保外资企业同等适用1.5万亿元再贷款再贴现专款额度支持。图 站酷海洛</w:t>
      </w:r>
    </w:p>
    <w:p>
      <w:pPr>
        <w:spacing w:line="440" w:lineRule="exact"/>
        <w:ind w:firstLine="480" w:firstLineChars="200"/>
        <w:rPr>
          <w:rFonts w:asciiTheme="minorEastAsia" w:hAnsiTheme="minorEastAsia"/>
          <w:sz w:val="24"/>
          <w:szCs w:val="24"/>
        </w:rPr>
      </w:pPr>
      <w:r>
        <w:rPr>
          <w:rFonts w:hint="eastAsia" w:asciiTheme="minorEastAsia" w:hAnsiTheme="minorEastAsia"/>
          <w:sz w:val="24"/>
          <w:szCs w:val="24"/>
        </w:rPr>
        <w:t>此次《通知》明确提出了重点支持的外贸企业行业，包括但不限于：专用和通用设备、电子及通信设备、医疗设备、化工、汽车、医药等制造业关键环节外资企业，以及电子元器件、纺织服装制造等领域外资企业；批发、商务服务、软件和信息技术服务、餐饮、住宿、旅游、养老等商贸服务领域经营确有困难的外资企业。</w:t>
      </w:r>
    </w:p>
    <w:p>
      <w:pPr>
        <w:spacing w:line="440" w:lineRule="exact"/>
        <w:ind w:firstLine="480" w:firstLineChars="200"/>
        <w:rPr>
          <w:rFonts w:asciiTheme="minorEastAsia" w:hAnsiTheme="minorEastAsia"/>
          <w:sz w:val="24"/>
          <w:szCs w:val="24"/>
        </w:rPr>
      </w:pPr>
      <w:r>
        <w:rPr>
          <w:rFonts w:hint="eastAsia" w:asciiTheme="minorEastAsia" w:hAnsiTheme="minorEastAsia"/>
          <w:sz w:val="24"/>
          <w:szCs w:val="24"/>
        </w:rPr>
        <w:t>21世纪经济报道记者从进出口银行了解到，疫情尤其是8月底以来该行陆续与地方商务厅加大合作，加大对外贸企业支持力度。如，甘肃省分行与甘肃省商务厅签署战略合作协议，发挥“政企银保”信息共享平台和对接磋商机制作用，深度对接优质外资企业融资需求；四川省分行加大对稳外贸稳外资工作支持力度，切实将信贷资源向支持外贸产业各领域倾斜，帮助外贸外资企业渡过难关；湖南省分行联合湖南省商务厅等开展“湖南稳外贸稳外资春融行动”，帮助外贸外资企业克服疫情影响，着力稳住外贸外资基本盘。</w:t>
      </w:r>
    </w:p>
    <w:p>
      <w:pPr>
        <w:spacing w:line="440" w:lineRule="exact"/>
        <w:ind w:firstLine="480" w:firstLineChars="200"/>
        <w:rPr>
          <w:rFonts w:asciiTheme="minorEastAsia" w:hAnsiTheme="minorEastAsia"/>
          <w:sz w:val="24"/>
          <w:szCs w:val="24"/>
        </w:rPr>
      </w:pPr>
      <w:r>
        <w:rPr>
          <w:rFonts w:hint="eastAsia" w:asciiTheme="minorEastAsia" w:hAnsiTheme="minorEastAsia"/>
          <w:sz w:val="24"/>
          <w:szCs w:val="24"/>
        </w:rPr>
        <w:t>逐月汇总融资资金到位情况</w:t>
      </w:r>
    </w:p>
    <w:p>
      <w:pPr>
        <w:spacing w:line="440" w:lineRule="exact"/>
        <w:ind w:firstLine="480" w:firstLineChars="200"/>
        <w:rPr>
          <w:rFonts w:asciiTheme="minorEastAsia" w:hAnsiTheme="minorEastAsia"/>
          <w:sz w:val="24"/>
          <w:szCs w:val="24"/>
        </w:rPr>
      </w:pPr>
      <w:r>
        <w:rPr>
          <w:rFonts w:hint="eastAsia" w:asciiTheme="minorEastAsia" w:hAnsiTheme="minorEastAsia"/>
          <w:sz w:val="24"/>
          <w:szCs w:val="24"/>
        </w:rPr>
        <w:t>在此次《通知》中，两部委要求，各省级商务主管部门指导本地外资企业协会等机构与银行业金融机构加强合作，协助银行业金融机构提高客户识别和信贷投放能力，积极推动“银企对接”，且在今年年底前至少集中组织一批（次）“银企对接”活动。</w:t>
      </w:r>
    </w:p>
    <w:p>
      <w:pPr>
        <w:spacing w:line="440" w:lineRule="exact"/>
        <w:ind w:firstLine="480" w:firstLineChars="200"/>
        <w:rPr>
          <w:rFonts w:asciiTheme="minorEastAsia" w:hAnsiTheme="minorEastAsia"/>
          <w:sz w:val="24"/>
          <w:szCs w:val="24"/>
        </w:rPr>
      </w:pPr>
      <w:r>
        <w:rPr>
          <w:rFonts w:hint="eastAsia" w:asciiTheme="minorEastAsia" w:hAnsiTheme="minorEastAsia"/>
          <w:sz w:val="24"/>
          <w:szCs w:val="24"/>
        </w:rPr>
        <w:t>同时，各省级商务主管部门应密切跟踪政策落实情况，逐月汇总本地区开展“银企对接”活动和融资资金到位情况，在每月月底前将落实进展、落实过程中存在的问题、建议及时报送外贸外资协调机制重点外资企业工作专班。</w:t>
      </w:r>
    </w:p>
    <w:p>
      <w:pPr>
        <w:spacing w:line="440" w:lineRule="exact"/>
        <w:ind w:firstLine="480" w:firstLineChars="200"/>
        <w:rPr>
          <w:rFonts w:asciiTheme="minorEastAsia" w:hAnsiTheme="minorEastAsia"/>
          <w:sz w:val="24"/>
          <w:szCs w:val="24"/>
        </w:rPr>
      </w:pPr>
      <w:r>
        <w:rPr>
          <w:rFonts w:hint="eastAsia" w:asciiTheme="minorEastAsia" w:hAnsiTheme="minorEastAsia"/>
          <w:sz w:val="24"/>
          <w:szCs w:val="24"/>
        </w:rPr>
        <w:t xml:space="preserve"> “银行业稳外资，可从三方面发力：一是继续加大对优质外资外贸类主体的支持力度，二是拓展金融服务的手段和方式，三是提升服务效率。”一位业内专家表示。</w:t>
      </w:r>
    </w:p>
    <w:p>
      <w:pPr>
        <w:spacing w:line="440" w:lineRule="exact"/>
        <w:ind w:firstLine="480" w:firstLineChars="200"/>
        <w:rPr>
          <w:rFonts w:asciiTheme="minorEastAsia" w:hAnsiTheme="minorEastAsia"/>
          <w:sz w:val="24"/>
          <w:szCs w:val="24"/>
        </w:rPr>
      </w:pPr>
      <w:r>
        <w:rPr>
          <w:rFonts w:hint="eastAsia" w:asciiTheme="minorEastAsia" w:hAnsiTheme="minorEastAsia"/>
          <w:sz w:val="24"/>
          <w:szCs w:val="24"/>
        </w:rPr>
        <w:t>以工商银行为例，该行不仅向重点外资企业发放贷款，还重点配套出口发票融资、出口订单融资、短期出口信用保险项下贸易融资、国际保理、工银速汇等国际贸易融资及国际结算拳头产品，对重点外资企业、受疫情影响暂时出现经营困难的企业提供专项帮扶。</w:t>
      </w:r>
    </w:p>
    <w:p>
      <w:pPr>
        <w:spacing w:line="440" w:lineRule="exact"/>
        <w:ind w:firstLine="480" w:firstLineChars="200"/>
        <w:rPr>
          <w:rFonts w:asciiTheme="minorEastAsia" w:hAnsiTheme="minorEastAsia"/>
          <w:sz w:val="24"/>
          <w:szCs w:val="24"/>
        </w:rPr>
      </w:pPr>
      <w:r>
        <w:rPr>
          <w:rFonts w:hint="eastAsia" w:asciiTheme="minorEastAsia" w:hAnsiTheme="minorEastAsia"/>
          <w:sz w:val="24"/>
          <w:szCs w:val="24"/>
        </w:rPr>
        <w:t>《通知》对于进出口银行5700亿元新增贷款还提出，创新丰富金融产品，对符合条件的重点外资企业给予多元化、全方位的金融支持。</w:t>
      </w:r>
    </w:p>
    <w:p>
      <w:pPr>
        <w:spacing w:line="440" w:lineRule="exact"/>
        <w:rPr>
          <w:rFonts w:asciiTheme="minorEastAsia" w:hAnsiTheme="minorEastAsia"/>
          <w:sz w:val="24"/>
          <w:szCs w:val="24"/>
        </w:rPr>
      </w:pPr>
      <w:r>
        <w:rPr>
          <w:rFonts w:hint="eastAsia" w:asciiTheme="minorEastAsia" w:hAnsiTheme="minorEastAsia"/>
          <w:sz w:val="24"/>
          <w:szCs w:val="24"/>
        </w:rPr>
        <w:t xml:space="preserve">（21世纪经济报道    </w:t>
      </w:r>
      <w:r>
        <w:rPr>
          <w:rFonts w:asciiTheme="minorEastAsia" w:hAnsiTheme="minorEastAsia"/>
          <w:sz w:val="24"/>
          <w:szCs w:val="24"/>
        </w:rPr>
        <w:t>12-18</w:t>
      </w:r>
      <w:r>
        <w:rPr>
          <w:rFonts w:hint="eastAsia" w:asciiTheme="minorEastAsia" w:hAnsiTheme="minorEastAsia"/>
          <w:sz w:val="24"/>
          <w:szCs w:val="24"/>
        </w:rPr>
        <w:t>）</w:t>
      </w:r>
    </w:p>
    <w:p>
      <w:pPr>
        <w:spacing w:line="440" w:lineRule="exact"/>
        <w:ind w:firstLine="480" w:firstLineChars="200"/>
        <w:rPr>
          <w:rFonts w:asciiTheme="minorEastAsia" w:hAnsiTheme="minorEastAsia"/>
          <w:sz w:val="24"/>
          <w:szCs w:val="24"/>
        </w:rPr>
        <w:sectPr>
          <w:type w:val="continuous"/>
          <w:pgSz w:w="11906" w:h="16838"/>
          <w:pgMar w:top="1440" w:right="1800" w:bottom="1440" w:left="1800" w:header="851" w:footer="992" w:gutter="0"/>
          <w:cols w:space="425" w:num="2"/>
          <w:docGrid w:type="lines" w:linePitch="312" w:charSpace="0"/>
        </w:sectPr>
      </w:pPr>
    </w:p>
    <w:p>
      <w:pPr>
        <w:spacing w:line="440" w:lineRule="exact"/>
        <w:ind w:firstLine="705"/>
        <w:jc w:val="left"/>
        <w:rPr>
          <w:rFonts w:asciiTheme="minorEastAsia" w:hAnsiTheme="minorEastAsia"/>
          <w:sz w:val="24"/>
          <w:szCs w:val="24"/>
        </w:rPr>
      </w:pPr>
    </w:p>
    <w:p>
      <w:pPr>
        <w:spacing w:line="440" w:lineRule="exact"/>
        <w:ind w:firstLine="705"/>
        <w:jc w:val="left"/>
        <w:rPr>
          <w:rFonts w:asciiTheme="minorEastAsia" w:hAnsiTheme="minorEastAsia"/>
          <w:sz w:val="24"/>
          <w:szCs w:val="24"/>
        </w:rPr>
      </w:pPr>
    </w:p>
    <w:p>
      <w:pPr>
        <w:spacing w:line="440" w:lineRule="exact"/>
        <w:ind w:firstLine="705"/>
        <w:jc w:val="left"/>
        <w:rPr>
          <w:rFonts w:asciiTheme="minorEastAsia" w:hAnsiTheme="minorEastAsia"/>
          <w:sz w:val="24"/>
          <w:szCs w:val="24"/>
        </w:rPr>
      </w:pPr>
    </w:p>
    <w:p>
      <w:pPr>
        <w:spacing w:line="440" w:lineRule="exact"/>
        <w:ind w:firstLine="705"/>
        <w:jc w:val="left"/>
        <w:rPr>
          <w:rFonts w:asciiTheme="minorEastAsia" w:hAnsiTheme="minorEastAsia"/>
          <w:sz w:val="24"/>
          <w:szCs w:val="24"/>
        </w:rPr>
      </w:pPr>
    </w:p>
    <w:p>
      <w:pPr>
        <w:spacing w:line="440" w:lineRule="exact"/>
        <w:jc w:val="center"/>
        <w:rPr>
          <w:rFonts w:ascii="楷体_GB2312" w:eastAsia="楷体_GB2312" w:hAnsiTheme="minorEastAsia"/>
          <w:b/>
          <w:bCs/>
          <w:sz w:val="36"/>
          <w:szCs w:val="36"/>
        </w:rPr>
      </w:pPr>
      <w:r>
        <w:rPr>
          <w:rFonts w:hint="eastAsia" w:ascii="楷体_GB2312" w:eastAsia="楷体_GB2312" w:hAnsiTheme="minorEastAsia"/>
          <w:b/>
          <w:bCs/>
          <w:sz w:val="36"/>
          <w:szCs w:val="36"/>
        </w:rPr>
        <w:t>宁波市人民政府办公厅关于支持工业企业</w:t>
      </w:r>
    </w:p>
    <w:p>
      <w:pPr>
        <w:spacing w:line="440" w:lineRule="exact"/>
        <w:jc w:val="center"/>
        <w:rPr>
          <w:rFonts w:ascii="楷体_GB2312" w:eastAsia="楷体_GB2312" w:hAnsiTheme="minorEastAsia"/>
          <w:b/>
          <w:bCs/>
          <w:sz w:val="36"/>
          <w:szCs w:val="36"/>
        </w:rPr>
      </w:pPr>
      <w:r>
        <w:rPr>
          <w:rFonts w:hint="eastAsia" w:ascii="楷体_GB2312" w:eastAsia="楷体_GB2312" w:hAnsiTheme="minorEastAsia"/>
          <w:b/>
          <w:bCs/>
          <w:sz w:val="36"/>
          <w:szCs w:val="36"/>
        </w:rPr>
        <w:t>留工优工稳增促投的若干意见</w:t>
      </w:r>
    </w:p>
    <w:p>
      <w:pPr>
        <w:spacing w:line="440" w:lineRule="exact"/>
        <w:jc w:val="center"/>
        <w:rPr>
          <w:rFonts w:hint="eastAsia" w:ascii="华文细黑" w:hAnsi="华文细黑" w:eastAsia="华文细黑"/>
          <w:color w:val="333333"/>
          <w:sz w:val="28"/>
          <w:szCs w:val="28"/>
          <w:shd w:val="clear" w:color="auto" w:fill="FFFFFF"/>
        </w:rPr>
      </w:pPr>
      <w:r>
        <w:rPr>
          <w:rFonts w:hint="eastAsia" w:ascii="华文细黑" w:hAnsi="华文细黑" w:eastAsia="华文细黑"/>
          <w:color w:val="333333"/>
          <w:sz w:val="28"/>
          <w:szCs w:val="28"/>
          <w:shd w:val="clear" w:color="auto" w:fill="FFFFFF"/>
        </w:rPr>
        <w:t>甬政办发〔2021〕1号</w:t>
      </w:r>
    </w:p>
    <w:p>
      <w:pPr>
        <w:pStyle w:val="7"/>
        <w:shd w:val="clear" w:color="auto" w:fill="FFFFFF"/>
        <w:spacing w:beforeAutospacing="0" w:afterAutospacing="0" w:line="440" w:lineRule="exact"/>
        <w:ind w:firstLine="480" w:firstLineChars="200"/>
        <w:rPr>
          <w:rFonts w:asciiTheme="minorEastAsia" w:hAnsiTheme="minorEastAsia"/>
          <w:color w:val="333333"/>
        </w:rPr>
      </w:pPr>
    </w:p>
    <w:p>
      <w:pPr>
        <w:pStyle w:val="7"/>
        <w:shd w:val="clear" w:color="auto" w:fill="FFFFFF"/>
        <w:spacing w:beforeAutospacing="0" w:afterAutospacing="0" w:line="440" w:lineRule="exact"/>
        <w:ind w:firstLine="480" w:firstLineChars="200"/>
        <w:rPr>
          <w:rFonts w:asciiTheme="minorEastAsia" w:hAnsiTheme="minorEastAsia"/>
          <w:color w:val="333333"/>
        </w:rPr>
        <w:sectPr>
          <w:type w:val="continuous"/>
          <w:pgSz w:w="11906" w:h="16838"/>
          <w:pgMar w:top="1440" w:right="1800" w:bottom="1440" w:left="1800" w:header="851" w:footer="992" w:gutter="0"/>
          <w:cols w:space="425" w:num="1"/>
          <w:docGrid w:type="lines" w:linePitch="312" w:charSpace="0"/>
        </w:sectPr>
      </w:pPr>
    </w:p>
    <w:p>
      <w:pPr>
        <w:pStyle w:val="7"/>
        <w:shd w:val="clear" w:color="auto" w:fill="FFFFFF"/>
        <w:spacing w:beforeAutospacing="0" w:afterAutospacing="0" w:line="440" w:lineRule="exact"/>
        <w:ind w:firstLine="480" w:firstLineChars="200"/>
        <w:rPr>
          <w:rFonts w:asciiTheme="minorEastAsia" w:hAnsiTheme="minorEastAsia"/>
          <w:color w:val="000000" w:themeColor="text1"/>
        </w:rPr>
      </w:pPr>
      <w:r>
        <w:rPr>
          <w:rFonts w:hint="eastAsia" w:asciiTheme="minorEastAsia" w:hAnsiTheme="minorEastAsia"/>
          <w:color w:val="000000" w:themeColor="text1"/>
        </w:rPr>
        <w:t>各区县（市）人民政府，市直及部省属驻甬各单位：</w:t>
      </w:r>
    </w:p>
    <w:p>
      <w:pPr>
        <w:pStyle w:val="7"/>
        <w:shd w:val="clear" w:color="auto" w:fill="FFFFFF"/>
        <w:spacing w:beforeAutospacing="0" w:afterAutospacing="0" w:line="440" w:lineRule="exact"/>
        <w:ind w:firstLine="480" w:firstLineChars="200"/>
        <w:rPr>
          <w:rFonts w:asciiTheme="minorEastAsia" w:hAnsiTheme="minorEastAsia"/>
          <w:color w:val="000000" w:themeColor="text1"/>
        </w:rPr>
      </w:pPr>
      <w:r>
        <w:rPr>
          <w:rFonts w:hint="eastAsia" w:asciiTheme="minorEastAsia" w:hAnsiTheme="minorEastAsia"/>
          <w:color w:val="000000" w:themeColor="text1"/>
        </w:rPr>
        <w:t>为有效应对严峻复杂的冬春季疫情防控形势，贯彻落实党中央、国务院和省委、省政府有关决策部署，坚持疫情防控和稳增促投两手抓，坚持稳就业与保产业相结合，全力做好当前工业企业留工优工稳增促投工作，确保产业链供应链稳定顺畅，促进全市经济社会持续健康发展，经市政府同意，现提出如下意见。</w:t>
      </w:r>
    </w:p>
    <w:p>
      <w:pPr>
        <w:pStyle w:val="7"/>
        <w:shd w:val="clear" w:color="auto" w:fill="FFFFFF"/>
        <w:spacing w:beforeAutospacing="0" w:afterAutospacing="0" w:line="440" w:lineRule="exact"/>
        <w:ind w:firstLine="480" w:firstLineChars="200"/>
        <w:rPr>
          <w:rFonts w:asciiTheme="minorEastAsia" w:hAnsiTheme="minorEastAsia"/>
          <w:color w:val="000000" w:themeColor="text1"/>
        </w:rPr>
      </w:pPr>
      <w:r>
        <w:rPr>
          <w:rFonts w:hint="eastAsia" w:asciiTheme="minorEastAsia" w:hAnsiTheme="minorEastAsia"/>
          <w:color w:val="000000" w:themeColor="text1"/>
        </w:rPr>
        <w:t>一、支持企业抢先机开新局。及时兑现各类涉企政策，指导支持企业科学应对市场形势变化和疫情防控需要，做好原材料、零部件储备和产品适度备库工作，确保产业链供应链稳定。鼓励订单较多、生产任务较重、有一定规模的企业，制定职工春节错避峰放假和调休计划，抢先机、抢工期，稳岗留工加快发展。对年产值超过1亿元的工业企业（不含国有及国有控股企业），2021年第一季度工业产值不低于上年第三、四季度季均产值的，给予一次性奖励10万元。（牵头领导：陈炳荣；牵头单位：市经信局；配合单位：市财政局、市统计局）</w:t>
      </w:r>
    </w:p>
    <w:p>
      <w:pPr>
        <w:pStyle w:val="7"/>
        <w:shd w:val="clear" w:color="auto" w:fill="FFFFFF"/>
        <w:spacing w:beforeAutospacing="0" w:afterAutospacing="0" w:line="440" w:lineRule="exact"/>
        <w:ind w:firstLine="480" w:firstLineChars="200"/>
        <w:rPr>
          <w:rFonts w:asciiTheme="minorEastAsia" w:hAnsiTheme="minorEastAsia"/>
          <w:color w:val="000000" w:themeColor="text1"/>
        </w:rPr>
      </w:pPr>
      <w:r>
        <w:rPr>
          <w:rFonts w:hint="eastAsia" w:asciiTheme="minorEastAsia" w:hAnsiTheme="minorEastAsia"/>
          <w:color w:val="000000" w:themeColor="text1"/>
        </w:rPr>
        <w:t>二、支持企业稳岗留工。充分发挥宁波市用工就业服务平台作用，鼓励淡旺季交叉用工、岗位互补的企业签订调剂协议，实现企业间人力资源合理调配。充分发挥失业保险稳定就业作用，对不裁员或少裁员的参保企业，返还其上年度实际缴纳失业保险费的50%。（牵头领导：陈仲朝；牵头单位：市人力社保局；配合单位：市财政局）</w:t>
      </w:r>
    </w:p>
    <w:p>
      <w:pPr>
        <w:pStyle w:val="7"/>
        <w:shd w:val="clear" w:color="auto" w:fill="FFFFFF"/>
        <w:spacing w:beforeAutospacing="0" w:afterAutospacing="0" w:line="440" w:lineRule="exact"/>
        <w:ind w:firstLine="480" w:firstLineChars="200"/>
        <w:rPr>
          <w:rFonts w:asciiTheme="minorEastAsia" w:hAnsiTheme="minorEastAsia"/>
          <w:color w:val="000000" w:themeColor="text1"/>
        </w:rPr>
      </w:pPr>
      <w:r>
        <w:rPr>
          <w:rFonts w:hint="eastAsia" w:asciiTheme="minorEastAsia" w:hAnsiTheme="minorEastAsia"/>
          <w:color w:val="000000" w:themeColor="text1"/>
        </w:rPr>
        <w:t>三、支持企业开展培训。继续落实企业职工教育经费税前扣除限额提高至工资薪金总额8%的税收政策。鼓励企业根据生产需求，组织开展项目制培训，对按规定自主开展培训的企业，给予最高600元/人的补贴。建立培训机构名录，列出培训内容清单，鼓励企业自主选择开展灵活多样的线上职业技能培训，对符合条件的企业给予最高800元/人的补贴。根据实际需要，适当纳入安全生产、职业道德、精益管理等培训内容，课时比例原则上不超过20%。（牵头领导：陈仲朝；牵头单位：市人力社保局；配合单位：市财政局）</w:t>
      </w:r>
    </w:p>
    <w:p>
      <w:pPr>
        <w:pStyle w:val="7"/>
        <w:shd w:val="clear" w:color="auto" w:fill="FFFFFF"/>
        <w:spacing w:beforeAutospacing="0" w:afterAutospacing="0" w:line="440" w:lineRule="exact"/>
        <w:ind w:firstLine="480" w:firstLineChars="200"/>
        <w:rPr>
          <w:rFonts w:asciiTheme="minorEastAsia" w:hAnsiTheme="minorEastAsia"/>
          <w:color w:val="000000" w:themeColor="text1"/>
        </w:rPr>
      </w:pPr>
      <w:r>
        <w:rPr>
          <w:rFonts w:hint="eastAsia" w:asciiTheme="minorEastAsia" w:hAnsiTheme="minorEastAsia"/>
          <w:color w:val="000000" w:themeColor="text1"/>
        </w:rPr>
        <w:t>四、保障工资足额发放。全面贯彻《保障中小企业款项支付条例》，进一步落实清理拖欠民营企业中小企业账款工作，畅通劳动保障维权渠道，及时化解各类欠薪矛盾纠纷。对确因经营困难出现欠薪问题的，及时动用工资保证金和应急周转金，确保解决被欠农民工的生活困难。（牵头领导：陈仲朝；牵头单位：市人力社保局；配合单位：市经信局、市总工会）</w:t>
      </w:r>
    </w:p>
    <w:p>
      <w:pPr>
        <w:pStyle w:val="7"/>
        <w:shd w:val="clear" w:color="auto" w:fill="FFFFFF"/>
        <w:spacing w:beforeAutospacing="0" w:afterAutospacing="0" w:line="440" w:lineRule="exact"/>
        <w:ind w:firstLine="480" w:firstLineChars="200"/>
        <w:rPr>
          <w:rFonts w:asciiTheme="minorEastAsia" w:hAnsiTheme="minorEastAsia"/>
          <w:color w:val="000000" w:themeColor="text1"/>
        </w:rPr>
      </w:pPr>
      <w:r>
        <w:rPr>
          <w:rFonts w:hint="eastAsia" w:asciiTheme="minorEastAsia" w:hAnsiTheme="minorEastAsia"/>
          <w:color w:val="000000" w:themeColor="text1"/>
        </w:rPr>
        <w:t>五、开展送温暖活动。倡导企业落实职工节日福利，为外地留甬职工开展茶话会等暖心活动。工会、共青团、妇联等要开展形式多样的节日慰问和上门服务活动，根据疫情防控形势适当组织开展送文化（节目）进企业、职业培训、劳动讲堂等活动。春节期间，职工可凭“5·1服务卡”享受系列迎春特惠活动，参与“甬工惠”平台的购物、文化、工惠保等优惠活动；各地工会场馆，国有投资的体育场馆、综合性广场、非古建筑及遗址类博物馆、美术馆等，向外地留甬职工免费开放。（牵头领导：卞吉安；牵头单位：市总工会；配合单位：市财政局、市国资委、市文广旅游局、团市委、市妇联）</w:t>
      </w:r>
    </w:p>
    <w:p>
      <w:pPr>
        <w:pStyle w:val="7"/>
        <w:shd w:val="clear" w:color="auto" w:fill="FFFFFF"/>
        <w:spacing w:beforeAutospacing="0" w:afterAutospacing="0" w:line="440" w:lineRule="exact"/>
        <w:ind w:firstLine="480" w:firstLineChars="200"/>
        <w:rPr>
          <w:rFonts w:asciiTheme="minorEastAsia" w:hAnsiTheme="minorEastAsia"/>
          <w:color w:val="000000" w:themeColor="text1"/>
        </w:rPr>
      </w:pPr>
      <w:r>
        <w:rPr>
          <w:rFonts w:hint="eastAsia" w:asciiTheme="minorEastAsia" w:hAnsiTheme="minorEastAsia"/>
          <w:color w:val="000000" w:themeColor="text1"/>
        </w:rPr>
        <w:t>六、持续加强疫情防控。充分运用各类媒介平台和载体，加强疫情防控、产业健康发展等方面宣传，营造政企合力防疫情、促发展的良好氛围。做好春节期间疫情防控预案，指导企业按照减少人员流动、减少人员聚集、加强个人防护等原则，扎实做好春节期间疫情防控工作。（牵头领导：许亚南；牵头单位：市卫生健康委；配合单位：市级新闻媒体）</w:t>
      </w:r>
    </w:p>
    <w:p>
      <w:pPr>
        <w:pStyle w:val="7"/>
        <w:shd w:val="clear" w:color="auto" w:fill="FFFFFF"/>
        <w:spacing w:beforeAutospacing="0" w:afterAutospacing="0" w:line="440" w:lineRule="exact"/>
        <w:ind w:firstLine="480" w:firstLineChars="200"/>
        <w:rPr>
          <w:rFonts w:asciiTheme="minorEastAsia" w:hAnsiTheme="minorEastAsia"/>
          <w:color w:val="000000" w:themeColor="text1"/>
        </w:rPr>
      </w:pPr>
      <w:r>
        <w:rPr>
          <w:rFonts w:hint="eastAsia" w:asciiTheme="minorEastAsia" w:hAnsiTheme="minorEastAsia"/>
          <w:color w:val="000000" w:themeColor="text1"/>
        </w:rPr>
        <w:t>七、做好企业服务工作。深入开展“三服务”“三巡三微两解”等服务企业专项行动，加强对企业和重大产业项目的沟通走访，加大对企业融资等方面的支持力度，协调解决春节期间企业生产用工和项目建设等方面的难题，为在建重大产业项目保质量抢工期提供保障，确保项目建设按计划顺利推进，确保企业生产生活秩序稳定。（牵头领导：陈炳荣；牵头单位：市经信局）</w:t>
      </w:r>
    </w:p>
    <w:p>
      <w:pPr>
        <w:pStyle w:val="7"/>
        <w:shd w:val="clear" w:color="auto" w:fill="FFFFFF"/>
        <w:spacing w:beforeAutospacing="0" w:afterAutospacing="0" w:line="440" w:lineRule="exact"/>
        <w:ind w:firstLine="480" w:firstLineChars="200"/>
        <w:rPr>
          <w:rFonts w:asciiTheme="minorEastAsia" w:hAnsiTheme="minorEastAsia"/>
          <w:color w:val="000000" w:themeColor="text1"/>
        </w:rPr>
      </w:pPr>
      <w:r>
        <w:rPr>
          <w:rFonts w:hint="eastAsia" w:asciiTheme="minorEastAsia" w:hAnsiTheme="minorEastAsia"/>
          <w:color w:val="000000" w:themeColor="text1"/>
        </w:rPr>
        <w:t>其他行业企业可参照本意见执行。国家和省、市有其他相关支持政策措施的，遵照执行。各地和市级各有关部门可根据实际情况制定实施细则。</w:t>
      </w:r>
    </w:p>
    <w:p>
      <w:pPr>
        <w:pStyle w:val="7"/>
        <w:shd w:val="clear" w:color="auto" w:fill="FFFFFF"/>
        <w:spacing w:beforeAutospacing="0" w:afterAutospacing="0" w:line="440" w:lineRule="exact"/>
        <w:ind w:firstLine="480" w:firstLineChars="200"/>
        <w:rPr>
          <w:rFonts w:asciiTheme="minorEastAsia" w:hAnsiTheme="minorEastAsia"/>
          <w:color w:val="000000" w:themeColor="text1"/>
        </w:rPr>
      </w:pPr>
      <w:r>
        <w:rPr>
          <w:rFonts w:hint="eastAsia" w:asciiTheme="minorEastAsia" w:hAnsiTheme="minorEastAsia"/>
          <w:color w:val="000000" w:themeColor="text1"/>
        </w:rPr>
        <w:t>本意见自印发之日起施行，有效期至2021年3月31日（相关政策措施已明确施行期限的，从其规定）。</w:t>
      </w:r>
    </w:p>
    <w:p>
      <w:pPr>
        <w:pStyle w:val="7"/>
        <w:shd w:val="clear" w:color="auto" w:fill="FFFFFF"/>
        <w:spacing w:beforeAutospacing="0" w:afterAutospacing="0" w:line="440" w:lineRule="exact"/>
        <w:ind w:firstLine="480" w:firstLineChars="200"/>
        <w:jc w:val="both"/>
        <w:rPr>
          <w:rFonts w:asciiTheme="minorEastAsia" w:hAnsiTheme="minorEastAsia"/>
          <w:color w:val="000000" w:themeColor="text1"/>
        </w:rPr>
      </w:pPr>
      <w:r>
        <w:rPr>
          <w:rFonts w:hint="eastAsia" w:asciiTheme="minorEastAsia" w:hAnsiTheme="minorEastAsia"/>
          <w:color w:val="000000" w:themeColor="text1"/>
        </w:rPr>
        <w:t> </w:t>
      </w:r>
    </w:p>
    <w:p>
      <w:pPr>
        <w:pStyle w:val="7"/>
        <w:shd w:val="clear" w:color="auto" w:fill="FFFFFF"/>
        <w:spacing w:beforeAutospacing="0" w:afterAutospacing="0" w:line="440" w:lineRule="exact"/>
        <w:ind w:firstLine="480" w:firstLineChars="200"/>
        <w:jc w:val="right"/>
        <w:rPr>
          <w:rFonts w:asciiTheme="minorEastAsia" w:hAnsiTheme="minorEastAsia"/>
          <w:color w:val="000000" w:themeColor="text1"/>
        </w:rPr>
      </w:pPr>
      <w:r>
        <w:rPr>
          <w:rFonts w:hint="eastAsia" w:asciiTheme="minorEastAsia" w:hAnsiTheme="minorEastAsia"/>
          <w:color w:val="000000" w:themeColor="text1"/>
        </w:rPr>
        <w:t>宁波市人民政府办公厅</w:t>
      </w:r>
    </w:p>
    <w:p>
      <w:pPr>
        <w:pStyle w:val="7"/>
        <w:shd w:val="clear" w:color="auto" w:fill="FFFFFF"/>
        <w:spacing w:beforeAutospacing="0" w:afterAutospacing="0" w:line="440" w:lineRule="exact"/>
        <w:ind w:firstLine="480" w:firstLineChars="200"/>
        <w:jc w:val="right"/>
        <w:rPr>
          <w:rFonts w:asciiTheme="minorEastAsia" w:hAnsiTheme="minorEastAsia"/>
          <w:color w:val="000000" w:themeColor="text1"/>
        </w:rPr>
      </w:pPr>
      <w:r>
        <w:rPr>
          <w:rFonts w:hint="eastAsia" w:asciiTheme="minorEastAsia" w:hAnsiTheme="minorEastAsia"/>
          <w:color w:val="000000" w:themeColor="text1"/>
        </w:rPr>
        <w:t>2021年1月4日</w:t>
      </w:r>
    </w:p>
    <w:p>
      <w:pPr>
        <w:spacing w:line="440" w:lineRule="exact"/>
        <w:ind w:firstLine="705"/>
        <w:jc w:val="left"/>
        <w:rPr>
          <w:rFonts w:asciiTheme="minorEastAsia" w:hAnsiTheme="minorEastAsia"/>
          <w:sz w:val="24"/>
          <w:szCs w:val="24"/>
        </w:rPr>
        <w:sectPr>
          <w:type w:val="continuous"/>
          <w:pgSz w:w="11906" w:h="16838"/>
          <w:pgMar w:top="1440" w:right="1800" w:bottom="1440" w:left="1800" w:header="851" w:footer="992" w:gutter="0"/>
          <w:cols w:space="425" w:num="2"/>
          <w:docGrid w:type="lines" w:linePitch="312" w:charSpace="0"/>
        </w:sectPr>
      </w:pPr>
    </w:p>
    <w:p>
      <w:pPr>
        <w:spacing w:line="440" w:lineRule="exact"/>
        <w:ind w:firstLine="705"/>
        <w:jc w:val="left"/>
        <w:rPr>
          <w:rFonts w:asciiTheme="minorEastAsia" w:hAnsiTheme="minorEastAsia"/>
          <w:sz w:val="24"/>
          <w:szCs w:val="24"/>
        </w:rPr>
      </w:pPr>
    </w:p>
    <w:p>
      <w:pPr>
        <w:spacing w:line="440" w:lineRule="exact"/>
        <w:ind w:firstLine="705"/>
        <w:jc w:val="left"/>
        <w:rPr>
          <w:rFonts w:asciiTheme="minorEastAsia" w:hAnsiTheme="minorEastAsia"/>
          <w:sz w:val="24"/>
          <w:szCs w:val="24"/>
        </w:rPr>
      </w:pPr>
    </w:p>
    <w:p>
      <w:pPr>
        <w:spacing w:line="440" w:lineRule="exact"/>
        <w:ind w:firstLine="705"/>
        <w:jc w:val="left"/>
        <w:rPr>
          <w:rFonts w:asciiTheme="minorEastAsia" w:hAnsiTheme="minorEastAsia"/>
          <w:sz w:val="24"/>
          <w:szCs w:val="24"/>
        </w:rPr>
      </w:pPr>
    </w:p>
    <w:p>
      <w:pPr>
        <w:spacing w:line="440" w:lineRule="exact"/>
        <w:jc w:val="left"/>
        <w:rPr>
          <w:rFonts w:ascii="华文彩云" w:hAnsi="宋体" w:eastAsia="华文彩云"/>
          <w:sz w:val="36"/>
          <w:szCs w:val="36"/>
        </w:rPr>
        <w:sectPr>
          <w:type w:val="continuous"/>
          <w:pgSz w:w="11906" w:h="16838"/>
          <w:pgMar w:top="1440" w:right="1800" w:bottom="1440" w:left="1800" w:header="851" w:footer="992" w:gutter="0"/>
          <w:cols w:space="425" w:num="2"/>
          <w:docGrid w:type="lines" w:linePitch="312" w:charSpace="0"/>
        </w:sectPr>
      </w:pPr>
    </w:p>
    <w:p>
      <w:pPr>
        <w:spacing w:line="440" w:lineRule="exact"/>
        <w:jc w:val="left"/>
        <w:rPr>
          <w:rFonts w:ascii="华文彩云" w:hAnsi="宋体" w:eastAsia="华文彩云"/>
          <w:sz w:val="36"/>
          <w:szCs w:val="36"/>
        </w:rPr>
      </w:pPr>
    </w:p>
    <w:p>
      <w:pPr>
        <w:spacing w:line="440" w:lineRule="exact"/>
        <w:jc w:val="center"/>
        <w:rPr>
          <w:rFonts w:ascii="楷体_GB2312" w:eastAsia="楷体_GB2312" w:hAnsiTheme="minorEastAsia"/>
          <w:b/>
          <w:bCs/>
          <w:sz w:val="36"/>
          <w:szCs w:val="36"/>
        </w:rPr>
      </w:pPr>
      <w:r>
        <w:rPr>
          <w:rFonts w:hint="eastAsia" w:ascii="楷体_GB2312" w:eastAsia="楷体_GB2312" w:hAnsiTheme="minorEastAsia"/>
          <w:b/>
          <w:bCs/>
          <w:sz w:val="36"/>
          <w:szCs w:val="36"/>
        </w:rPr>
        <w:t>宁波市人民政府办公厅关于做好当前跨境物流</w:t>
      </w:r>
    </w:p>
    <w:p>
      <w:pPr>
        <w:spacing w:line="440" w:lineRule="exact"/>
        <w:jc w:val="center"/>
        <w:rPr>
          <w:rFonts w:ascii="楷体_GB2312" w:eastAsia="楷体_GB2312" w:hAnsiTheme="minorEastAsia"/>
          <w:b/>
          <w:bCs/>
          <w:sz w:val="36"/>
          <w:szCs w:val="36"/>
        </w:rPr>
      </w:pPr>
      <w:r>
        <w:rPr>
          <w:rFonts w:hint="eastAsia" w:ascii="楷体_GB2312" w:eastAsia="楷体_GB2312" w:hAnsiTheme="minorEastAsia"/>
          <w:b/>
          <w:bCs/>
          <w:sz w:val="36"/>
          <w:szCs w:val="36"/>
        </w:rPr>
        <w:t>缺舱缺箱问题应对工作的若干意见</w:t>
      </w:r>
    </w:p>
    <w:p>
      <w:pPr>
        <w:spacing w:line="440" w:lineRule="exact"/>
        <w:jc w:val="center"/>
        <w:rPr>
          <w:rFonts w:ascii="华文细黑" w:hAnsi="华文细黑" w:eastAsia="华文细黑"/>
          <w:color w:val="333333"/>
          <w:sz w:val="28"/>
          <w:szCs w:val="28"/>
          <w:shd w:val="clear" w:color="auto" w:fill="FFFFFF"/>
        </w:rPr>
      </w:pPr>
      <w:r>
        <w:rPr>
          <w:rFonts w:hint="eastAsia" w:ascii="华文细黑" w:hAnsi="华文细黑" w:eastAsia="华文细黑"/>
          <w:color w:val="333333"/>
          <w:sz w:val="28"/>
          <w:szCs w:val="28"/>
          <w:shd w:val="clear" w:color="auto" w:fill="FFFFFF"/>
        </w:rPr>
        <w:t>甬政办发〔2021〕2号</w:t>
      </w:r>
    </w:p>
    <w:p>
      <w:pPr>
        <w:spacing w:line="440" w:lineRule="exact"/>
        <w:ind w:firstLine="480" w:firstLineChars="200"/>
        <w:jc w:val="left"/>
        <w:rPr>
          <w:rFonts w:asciiTheme="minorEastAsia" w:hAnsiTheme="minorEastAsia"/>
          <w:sz w:val="24"/>
          <w:szCs w:val="24"/>
        </w:rPr>
      </w:pPr>
    </w:p>
    <w:p>
      <w:pPr>
        <w:spacing w:line="440" w:lineRule="exact"/>
        <w:ind w:firstLine="480" w:firstLineChars="200"/>
        <w:jc w:val="left"/>
        <w:rPr>
          <w:rFonts w:asciiTheme="minorEastAsia" w:hAnsiTheme="minorEastAsia"/>
          <w:sz w:val="24"/>
          <w:szCs w:val="24"/>
        </w:rPr>
        <w:sectPr>
          <w:type w:val="continuous"/>
          <w:pgSz w:w="11906" w:h="16838"/>
          <w:pgMar w:top="1440" w:right="1800" w:bottom="1440" w:left="1800" w:header="851" w:footer="992" w:gutter="0"/>
          <w:cols w:space="425" w:num="1"/>
          <w:docGrid w:type="lines" w:linePitch="312" w:charSpace="0"/>
        </w:sectPr>
      </w:pPr>
    </w:p>
    <w:p>
      <w:pPr>
        <w:spacing w:line="440" w:lineRule="exact"/>
        <w:ind w:firstLine="480" w:firstLineChars="200"/>
        <w:jc w:val="left"/>
        <w:rPr>
          <w:rFonts w:asciiTheme="minorEastAsia" w:hAnsiTheme="minorEastAsia"/>
          <w:sz w:val="24"/>
          <w:szCs w:val="24"/>
        </w:rPr>
      </w:pPr>
      <w:r>
        <w:rPr>
          <w:rFonts w:hint="eastAsia" w:asciiTheme="minorEastAsia" w:hAnsiTheme="minorEastAsia"/>
          <w:sz w:val="24"/>
          <w:szCs w:val="24"/>
        </w:rPr>
        <w:t>各区县（市）人民政府，市直及部省属驻甬各单位：</w:t>
      </w:r>
    </w:p>
    <w:p>
      <w:pPr>
        <w:spacing w:line="440" w:lineRule="exact"/>
        <w:ind w:firstLine="480" w:firstLineChars="200"/>
        <w:jc w:val="left"/>
        <w:rPr>
          <w:rFonts w:asciiTheme="minorEastAsia" w:hAnsiTheme="minorEastAsia"/>
          <w:sz w:val="24"/>
          <w:szCs w:val="24"/>
        </w:rPr>
      </w:pPr>
      <w:r>
        <w:rPr>
          <w:rFonts w:hint="eastAsia" w:asciiTheme="minorEastAsia" w:hAnsiTheme="minorEastAsia"/>
          <w:sz w:val="24"/>
          <w:szCs w:val="24"/>
        </w:rPr>
        <w:t>为有效应对当前跨境物流出现的缺舱、缺箱、运价上涨等突出问题，优化口岸营商环境，保障我市外贸稳定发展，经市政府同意，现提出如下意见。</w:t>
      </w:r>
    </w:p>
    <w:p>
      <w:pPr>
        <w:spacing w:line="440" w:lineRule="exact"/>
        <w:ind w:firstLine="480" w:firstLineChars="200"/>
        <w:jc w:val="left"/>
        <w:rPr>
          <w:rFonts w:asciiTheme="minorEastAsia" w:hAnsiTheme="minorEastAsia"/>
          <w:sz w:val="24"/>
          <w:szCs w:val="24"/>
        </w:rPr>
      </w:pPr>
      <w:r>
        <w:rPr>
          <w:rFonts w:hint="eastAsia" w:asciiTheme="minorEastAsia" w:hAnsiTheme="minorEastAsia"/>
          <w:sz w:val="24"/>
          <w:szCs w:val="24"/>
        </w:rPr>
        <w:t>一、增加航线运力。鼓励、引导船公司定向增加宁波口岸航线、运力供给，增开航线航班，增加加班船挂靠，减少跳港、跳班，加快船舶周转效率，从供给端缓解运力和舱位紧张问题，重点保障美东、美西、欧洲地中海等重点航线的运力供给。推进新增码头泊位等口岸对外开放，增加与宁波舟山港航线运力相匹配的码头作业能力和效率。</w:t>
      </w:r>
    </w:p>
    <w:p>
      <w:pPr>
        <w:spacing w:line="440" w:lineRule="exact"/>
        <w:ind w:firstLine="480" w:firstLineChars="200"/>
        <w:jc w:val="left"/>
        <w:rPr>
          <w:rFonts w:asciiTheme="minorEastAsia" w:hAnsiTheme="minorEastAsia"/>
          <w:sz w:val="24"/>
          <w:szCs w:val="24"/>
        </w:rPr>
      </w:pPr>
      <w:r>
        <w:rPr>
          <w:rFonts w:hint="eastAsia" w:asciiTheme="minorEastAsia" w:hAnsiTheme="minorEastAsia"/>
          <w:sz w:val="24"/>
          <w:szCs w:val="24"/>
        </w:rPr>
        <w:t>二、保障空箱供给。鼓励、引导船公司做好空箱回流工作，临时调配内支线和海铁联运的空箱以缓解出口需求。关注进出口货物流量流向，加大对进口贸易的支持力度，进一步培育进口市场，增加进口重箱数量。加强阶段性集装箱空箱保供，统筹解决集装箱制造企业所需能源和钢材等问题，鼓励引导宁波本地集装箱生产企业加大产能。</w:t>
      </w:r>
    </w:p>
    <w:p>
      <w:pPr>
        <w:spacing w:line="440" w:lineRule="exact"/>
        <w:ind w:firstLine="480" w:firstLineChars="200"/>
        <w:jc w:val="left"/>
        <w:rPr>
          <w:rFonts w:asciiTheme="minorEastAsia" w:hAnsiTheme="minorEastAsia"/>
          <w:sz w:val="24"/>
          <w:szCs w:val="24"/>
        </w:rPr>
      </w:pPr>
      <w:r>
        <w:rPr>
          <w:rFonts w:hint="eastAsia" w:asciiTheme="minorEastAsia" w:hAnsiTheme="minorEastAsia"/>
          <w:sz w:val="24"/>
          <w:szCs w:val="24"/>
        </w:rPr>
        <w:t>三、稳定运价箱价。关注船公司运价调整情况，必要时请国家有关部委约谈船公司，规范收费行为，延长运价备案时间。引导船公司提高放舱数量与实际可用集装箱空箱数量匹配度。发挥相关行业协会自律作用，规范协会会员企业收费行为。</w:t>
      </w:r>
    </w:p>
    <w:p>
      <w:pPr>
        <w:spacing w:line="440" w:lineRule="exact"/>
        <w:ind w:firstLine="480" w:firstLineChars="200"/>
        <w:jc w:val="left"/>
        <w:rPr>
          <w:rFonts w:asciiTheme="minorEastAsia" w:hAnsiTheme="minorEastAsia"/>
          <w:sz w:val="24"/>
          <w:szCs w:val="24"/>
        </w:rPr>
      </w:pPr>
      <w:r>
        <w:rPr>
          <w:rFonts w:hint="eastAsia" w:asciiTheme="minorEastAsia" w:hAnsiTheme="minorEastAsia"/>
          <w:sz w:val="24"/>
          <w:szCs w:val="24"/>
        </w:rPr>
        <w:t>四、加快集装箱周转。继续深化空箱监管无纸化改革，创新监管模式，加快空箱查验效率，适当降低查验比例，实施阶段性空箱放行应急措施。推进空箱船边直卸、集卡直提等作业模式。对进口空箱船舶（单航次进口空箱量超过500标准箱且卸船空箱比例达到整船卸货箱量70%以上的船舶）给予优先靠泊和优先选择作业码头，在港区作业效率上给予倾斜。提升重箱作业效率，压缩重箱转空箱时间。</w:t>
      </w:r>
    </w:p>
    <w:p>
      <w:pPr>
        <w:spacing w:line="440" w:lineRule="exact"/>
        <w:ind w:firstLine="480" w:firstLineChars="200"/>
        <w:jc w:val="left"/>
        <w:rPr>
          <w:rFonts w:asciiTheme="minorEastAsia" w:hAnsiTheme="minorEastAsia"/>
          <w:sz w:val="24"/>
          <w:szCs w:val="24"/>
        </w:rPr>
      </w:pPr>
      <w:r>
        <w:rPr>
          <w:rFonts w:hint="eastAsia" w:asciiTheme="minorEastAsia" w:hAnsiTheme="minorEastAsia"/>
          <w:sz w:val="24"/>
          <w:szCs w:val="24"/>
        </w:rPr>
        <w:t>五、落实港口降费政策。实施进口空箱加班船舶在宁波舟山港宁波港域作业时的进港拖轮费用、引航费用减免优惠政策。对符合条件的外贸船公司进口空箱延长免堆期。给予符合条件的外贸本地进口空箱装卸费优惠。</w:t>
      </w:r>
    </w:p>
    <w:p>
      <w:pPr>
        <w:spacing w:line="440" w:lineRule="exact"/>
        <w:ind w:firstLine="480" w:firstLineChars="200"/>
        <w:jc w:val="left"/>
        <w:rPr>
          <w:rFonts w:asciiTheme="minorEastAsia" w:hAnsiTheme="minorEastAsia"/>
          <w:sz w:val="24"/>
          <w:szCs w:val="24"/>
        </w:rPr>
      </w:pPr>
      <w:r>
        <w:rPr>
          <w:rFonts w:hint="eastAsia" w:asciiTheme="minorEastAsia" w:hAnsiTheme="minorEastAsia"/>
          <w:sz w:val="24"/>
          <w:szCs w:val="24"/>
        </w:rPr>
        <w:t>六、提升市场透明度。利用中国（宁波）国际贸易“单一窗口”、宁波舟山港“易港通”等信息化平台，及时对外公布集装箱供需、调度及提还箱信息；鼓励、引导船公司、船代、堆场等企业公开舱位、箱量使用和堆场周转情况，提高集装箱周转运行信息透明度。鼓励专业机构利用大数据监测国际供应链变化，提前预警应对，提升市场预判能力。加强宣传引导，稳定市场预期，营造良好氛围。</w:t>
      </w:r>
    </w:p>
    <w:p>
      <w:pPr>
        <w:spacing w:line="440" w:lineRule="exact"/>
        <w:ind w:firstLine="480" w:firstLineChars="200"/>
        <w:jc w:val="left"/>
        <w:rPr>
          <w:rFonts w:asciiTheme="minorEastAsia" w:hAnsiTheme="minorEastAsia"/>
          <w:sz w:val="24"/>
          <w:szCs w:val="24"/>
        </w:rPr>
      </w:pPr>
      <w:r>
        <w:rPr>
          <w:rFonts w:hint="eastAsia" w:asciiTheme="minorEastAsia" w:hAnsiTheme="minorEastAsia"/>
          <w:sz w:val="24"/>
          <w:szCs w:val="24"/>
        </w:rPr>
        <w:t>七、开展专项整治行动。开展跨境物流收费专项整治行动，重点整治跨境物流各环节的乱收费、哄抬价格等违法行为，维护市场秩序。</w:t>
      </w:r>
    </w:p>
    <w:p>
      <w:pPr>
        <w:spacing w:line="440" w:lineRule="exact"/>
        <w:ind w:firstLine="480" w:firstLineChars="200"/>
        <w:jc w:val="left"/>
        <w:rPr>
          <w:rFonts w:asciiTheme="minorEastAsia" w:hAnsiTheme="minorEastAsia"/>
          <w:sz w:val="24"/>
          <w:szCs w:val="24"/>
        </w:rPr>
      </w:pPr>
      <w:r>
        <w:rPr>
          <w:rFonts w:hint="eastAsia" w:asciiTheme="minorEastAsia" w:hAnsiTheme="minorEastAsia"/>
          <w:sz w:val="24"/>
          <w:szCs w:val="24"/>
        </w:rPr>
        <w:t>八、加大金融支持力度。引导银行业金融机构在遵循市场化、法治化的原则上，加大对船代、货代等跨境物流企业的资金支持，扩大信贷投放，降低融资成本，提升金融服务质效，帮助有发展前景但暂时受困的企业渡过难关。</w:t>
      </w:r>
    </w:p>
    <w:p>
      <w:pPr>
        <w:spacing w:line="440" w:lineRule="exact"/>
        <w:ind w:firstLine="480" w:firstLineChars="200"/>
        <w:jc w:val="left"/>
        <w:rPr>
          <w:rFonts w:asciiTheme="minorEastAsia" w:hAnsiTheme="minorEastAsia"/>
          <w:sz w:val="24"/>
          <w:szCs w:val="24"/>
        </w:rPr>
      </w:pPr>
      <w:r>
        <w:rPr>
          <w:rFonts w:hint="eastAsia" w:asciiTheme="minorEastAsia" w:hAnsiTheme="minorEastAsia"/>
          <w:sz w:val="24"/>
          <w:szCs w:val="24"/>
        </w:rPr>
        <w:t>九、做好稳岗留工工作。属地政府、行业主管部门、行业协会、集卡企业要主动做好今年春节期间集卡司机稳岗留工工作，保障我市跨境物流顺畅。</w:t>
      </w:r>
    </w:p>
    <w:p>
      <w:pPr>
        <w:spacing w:line="440" w:lineRule="exact"/>
        <w:ind w:firstLine="480" w:firstLineChars="200"/>
        <w:jc w:val="left"/>
        <w:rPr>
          <w:rFonts w:asciiTheme="minorEastAsia" w:hAnsiTheme="minorEastAsia"/>
          <w:sz w:val="24"/>
          <w:szCs w:val="24"/>
        </w:rPr>
      </w:pPr>
      <w:r>
        <w:rPr>
          <w:rFonts w:hint="eastAsia" w:asciiTheme="minorEastAsia" w:hAnsiTheme="minorEastAsia"/>
          <w:sz w:val="24"/>
          <w:szCs w:val="24"/>
        </w:rPr>
        <w:t>十、加强工作保障。成立工作专班，强化统筹协调，细化专项政策。市级财政安排4000万元专项资金用于今年第一季度调运力、增空箱工作（具体补助细则另行制订）。</w:t>
      </w:r>
    </w:p>
    <w:p>
      <w:pPr>
        <w:spacing w:line="440" w:lineRule="exact"/>
        <w:ind w:firstLine="480" w:firstLineChars="200"/>
        <w:jc w:val="left"/>
        <w:rPr>
          <w:rFonts w:asciiTheme="minorEastAsia" w:hAnsiTheme="minorEastAsia"/>
          <w:sz w:val="24"/>
          <w:szCs w:val="24"/>
        </w:rPr>
      </w:pPr>
      <w:r>
        <w:rPr>
          <w:rFonts w:hint="eastAsia" w:asciiTheme="minorEastAsia" w:hAnsiTheme="minorEastAsia"/>
          <w:sz w:val="24"/>
          <w:szCs w:val="24"/>
        </w:rPr>
        <w:t>国家和省、市有其他相关支持政策措施的，遵照执行。</w:t>
      </w:r>
    </w:p>
    <w:p>
      <w:pPr>
        <w:spacing w:line="440" w:lineRule="exact"/>
        <w:ind w:firstLine="480" w:firstLineChars="200"/>
        <w:jc w:val="left"/>
        <w:rPr>
          <w:rFonts w:asciiTheme="minorEastAsia" w:hAnsiTheme="minorEastAsia"/>
          <w:sz w:val="24"/>
          <w:szCs w:val="24"/>
        </w:rPr>
      </w:pPr>
      <w:r>
        <w:rPr>
          <w:rFonts w:hint="eastAsia" w:asciiTheme="minorEastAsia" w:hAnsiTheme="minorEastAsia"/>
          <w:sz w:val="24"/>
          <w:szCs w:val="24"/>
        </w:rPr>
        <w:t>本意见自印发之日起施行，有效期至2021年3月31日。相关政策措施已明确施行期限的，从其规定。</w:t>
      </w:r>
    </w:p>
    <w:p>
      <w:pPr>
        <w:spacing w:line="440" w:lineRule="exact"/>
        <w:ind w:firstLine="480" w:firstLineChars="200"/>
        <w:jc w:val="left"/>
        <w:rPr>
          <w:rFonts w:asciiTheme="minorEastAsia" w:hAnsiTheme="minorEastAsia"/>
          <w:sz w:val="24"/>
          <w:szCs w:val="24"/>
        </w:rPr>
      </w:pPr>
    </w:p>
    <w:p>
      <w:pPr>
        <w:spacing w:line="440" w:lineRule="exact"/>
        <w:ind w:firstLine="480" w:firstLineChars="200"/>
        <w:jc w:val="left"/>
        <w:rPr>
          <w:rFonts w:asciiTheme="minorEastAsia" w:hAnsiTheme="minorEastAsia"/>
          <w:sz w:val="24"/>
          <w:szCs w:val="24"/>
        </w:rPr>
      </w:pPr>
    </w:p>
    <w:p>
      <w:pPr>
        <w:spacing w:line="440" w:lineRule="exact"/>
        <w:ind w:firstLine="480" w:firstLineChars="200"/>
        <w:jc w:val="right"/>
        <w:rPr>
          <w:rFonts w:asciiTheme="minorEastAsia" w:hAnsiTheme="minorEastAsia"/>
          <w:sz w:val="24"/>
          <w:szCs w:val="24"/>
        </w:rPr>
      </w:pPr>
      <w:r>
        <w:rPr>
          <w:rFonts w:hint="eastAsia" w:asciiTheme="minorEastAsia" w:hAnsiTheme="minorEastAsia"/>
          <w:sz w:val="24"/>
          <w:szCs w:val="24"/>
        </w:rPr>
        <w:t>宁波市人民政府办公厅</w:t>
      </w:r>
    </w:p>
    <w:p>
      <w:pPr>
        <w:spacing w:line="440" w:lineRule="exact"/>
        <w:ind w:right="360" w:firstLine="480" w:firstLineChars="200"/>
        <w:jc w:val="right"/>
        <w:rPr>
          <w:rFonts w:asciiTheme="minorEastAsia" w:hAnsiTheme="minorEastAsia"/>
          <w:sz w:val="24"/>
          <w:szCs w:val="24"/>
        </w:rPr>
      </w:pPr>
      <w:r>
        <w:rPr>
          <w:rFonts w:hint="eastAsia" w:asciiTheme="minorEastAsia" w:hAnsiTheme="minorEastAsia"/>
          <w:sz w:val="24"/>
          <w:szCs w:val="24"/>
        </w:rPr>
        <w:t>2021年1月8日</w:t>
      </w:r>
    </w:p>
    <w:p>
      <w:pPr>
        <w:spacing w:line="440" w:lineRule="exact"/>
        <w:jc w:val="left"/>
        <w:rPr>
          <w:rFonts w:ascii="华文彩云" w:hAnsi="宋体" w:eastAsia="华文彩云"/>
          <w:sz w:val="36"/>
          <w:szCs w:val="36"/>
        </w:rPr>
        <w:sectPr>
          <w:type w:val="continuous"/>
          <w:pgSz w:w="11906" w:h="16838"/>
          <w:pgMar w:top="1440" w:right="1800" w:bottom="1440" w:left="1800" w:header="851" w:footer="992" w:gutter="0"/>
          <w:cols w:space="425" w:num="2"/>
          <w:docGrid w:type="lines" w:linePitch="312" w:charSpace="0"/>
        </w:sectPr>
      </w:pPr>
    </w:p>
    <w:p>
      <w:pPr>
        <w:spacing w:line="440" w:lineRule="exact"/>
        <w:jc w:val="left"/>
        <w:rPr>
          <w:rFonts w:ascii="华文彩云" w:hAnsi="宋体" w:eastAsia="华文彩云"/>
          <w:sz w:val="36"/>
          <w:szCs w:val="36"/>
        </w:rPr>
      </w:pPr>
    </w:p>
    <w:p>
      <w:pPr>
        <w:spacing w:line="440" w:lineRule="exact"/>
        <w:jc w:val="left"/>
        <w:rPr>
          <w:rFonts w:ascii="华文彩云" w:hAnsi="宋体" w:eastAsia="华文彩云"/>
          <w:sz w:val="36"/>
          <w:szCs w:val="36"/>
        </w:rPr>
      </w:pPr>
    </w:p>
    <w:p>
      <w:pPr>
        <w:spacing w:line="440" w:lineRule="exact"/>
        <w:jc w:val="left"/>
        <w:rPr>
          <w:rFonts w:ascii="华文彩云" w:hAnsi="宋体" w:eastAsia="华文彩云"/>
          <w:sz w:val="36"/>
          <w:szCs w:val="36"/>
        </w:rPr>
      </w:pPr>
    </w:p>
    <w:p>
      <w:pPr>
        <w:spacing w:line="440" w:lineRule="exact"/>
        <w:jc w:val="left"/>
        <w:rPr>
          <w:rFonts w:ascii="华文彩云" w:hAnsi="宋体" w:eastAsia="华文彩云"/>
          <w:sz w:val="36"/>
          <w:szCs w:val="36"/>
        </w:rPr>
      </w:pPr>
    </w:p>
    <w:p>
      <w:pPr>
        <w:spacing w:line="440" w:lineRule="exact"/>
        <w:jc w:val="left"/>
        <w:rPr>
          <w:rFonts w:ascii="华文彩云" w:hAnsi="宋体" w:eastAsia="华文彩云"/>
          <w:sz w:val="36"/>
          <w:szCs w:val="36"/>
        </w:rPr>
      </w:pPr>
    </w:p>
    <w:p>
      <w:pPr>
        <w:spacing w:line="440" w:lineRule="exact"/>
        <w:jc w:val="left"/>
        <w:rPr>
          <w:rFonts w:ascii="华文彩云" w:hAnsi="宋体" w:eastAsia="华文彩云"/>
          <w:sz w:val="36"/>
          <w:szCs w:val="36"/>
        </w:rPr>
      </w:pPr>
    </w:p>
    <w:p>
      <w:pPr>
        <w:spacing w:line="440" w:lineRule="exact"/>
        <w:jc w:val="left"/>
        <w:rPr>
          <w:rFonts w:ascii="华文彩云" w:hAnsi="宋体" w:eastAsia="华文彩云"/>
          <w:sz w:val="36"/>
          <w:szCs w:val="36"/>
        </w:rPr>
      </w:pPr>
    </w:p>
    <w:p>
      <w:pPr>
        <w:spacing w:line="440" w:lineRule="exact"/>
        <w:jc w:val="left"/>
        <w:rPr>
          <w:rFonts w:ascii="华文彩云" w:hAnsi="宋体" w:eastAsia="华文彩云"/>
          <w:sz w:val="36"/>
          <w:szCs w:val="36"/>
        </w:rPr>
      </w:pPr>
    </w:p>
    <w:p>
      <w:pPr>
        <w:spacing w:line="440" w:lineRule="exact"/>
        <w:jc w:val="left"/>
        <w:rPr>
          <w:rFonts w:ascii="华文彩云" w:hAnsi="宋体" w:eastAsia="华文彩云"/>
          <w:sz w:val="36"/>
          <w:szCs w:val="36"/>
        </w:rPr>
      </w:pPr>
    </w:p>
    <w:p>
      <w:pPr>
        <w:spacing w:line="440" w:lineRule="exact"/>
        <w:jc w:val="left"/>
        <w:rPr>
          <w:rFonts w:ascii="华文彩云" w:hAnsi="宋体" w:eastAsia="华文彩云"/>
          <w:sz w:val="36"/>
          <w:szCs w:val="36"/>
        </w:rPr>
      </w:pPr>
    </w:p>
    <w:p>
      <w:pPr>
        <w:spacing w:line="440" w:lineRule="exact"/>
        <w:jc w:val="left"/>
        <w:rPr>
          <w:rFonts w:ascii="华文彩云" w:hAnsi="宋体" w:eastAsia="华文彩云"/>
          <w:sz w:val="36"/>
          <w:szCs w:val="36"/>
        </w:rPr>
      </w:pPr>
    </w:p>
    <w:p>
      <w:pPr>
        <w:spacing w:line="440" w:lineRule="exact"/>
        <w:jc w:val="left"/>
        <w:rPr>
          <w:rFonts w:hint="eastAsia" w:ascii="华文彩云" w:hAnsi="宋体" w:eastAsia="华文彩云"/>
          <w:sz w:val="36"/>
          <w:szCs w:val="36"/>
        </w:rPr>
      </w:pPr>
    </w:p>
    <w:p>
      <w:pPr>
        <w:spacing w:line="440" w:lineRule="exact"/>
        <w:jc w:val="left"/>
        <w:rPr>
          <w:rFonts w:ascii="华文彩云" w:eastAsia="华文彩云"/>
          <w:b/>
          <w:sz w:val="36"/>
          <w:szCs w:val="36"/>
        </w:rPr>
        <w:sectPr>
          <w:type w:val="continuous"/>
          <w:pgSz w:w="11906" w:h="16838"/>
          <w:pgMar w:top="1440" w:right="1800" w:bottom="1440" w:left="1800" w:header="851" w:footer="992" w:gutter="0"/>
          <w:cols w:space="425" w:num="1"/>
          <w:docGrid w:type="lines" w:linePitch="312" w:charSpace="0"/>
        </w:sectPr>
      </w:pPr>
      <w:r>
        <w:rPr>
          <w:rFonts w:hint="eastAsia" w:ascii="华文彩云" w:hAnsi="宋体" w:eastAsia="华文彩云"/>
          <w:sz w:val="36"/>
          <w:szCs w:val="36"/>
        </w:rPr>
        <w:t>◎</w:t>
      </w:r>
      <w:r>
        <w:rPr>
          <w:rFonts w:hint="eastAsia" w:ascii="华文彩云" w:eastAsia="华文彩云"/>
          <w:b/>
          <w:sz w:val="36"/>
          <w:szCs w:val="36"/>
        </w:rPr>
        <w:t>世界经贸</w:t>
      </w:r>
    </w:p>
    <w:p>
      <w:pPr>
        <w:spacing w:line="440" w:lineRule="exact"/>
        <w:jc w:val="left"/>
        <w:rPr>
          <w:rFonts w:asciiTheme="minorEastAsia" w:hAnsiTheme="minorEastAsia"/>
          <w:sz w:val="24"/>
          <w:szCs w:val="24"/>
        </w:rPr>
        <w:sectPr>
          <w:type w:val="continuous"/>
          <w:pgSz w:w="11906" w:h="16838"/>
          <w:pgMar w:top="1440" w:right="1800" w:bottom="1440" w:left="1800" w:header="851" w:footer="992" w:gutter="0"/>
          <w:cols w:space="425" w:num="2"/>
          <w:docGrid w:type="lines" w:linePitch="312" w:charSpace="0"/>
        </w:sectPr>
      </w:pPr>
    </w:p>
    <w:p>
      <w:pPr>
        <w:jc w:val="center"/>
        <w:rPr>
          <w:rFonts w:hint="eastAsia" w:ascii="楷体_GB2312" w:eastAsia="楷体_GB2312"/>
          <w:b/>
          <w:bCs/>
          <w:sz w:val="36"/>
          <w:szCs w:val="36"/>
        </w:rPr>
      </w:pPr>
    </w:p>
    <w:p>
      <w:pPr>
        <w:keepNext w:val="0"/>
        <w:keepLines w:val="0"/>
        <w:pageBreakBefore w:val="0"/>
        <w:kinsoku/>
        <w:wordWrap/>
        <w:overflowPunct/>
        <w:topLinePunct w:val="0"/>
        <w:autoSpaceDE/>
        <w:autoSpaceDN/>
        <w:bidi w:val="0"/>
        <w:adjustRightInd/>
        <w:snapToGrid/>
        <w:spacing w:line="420" w:lineRule="exact"/>
        <w:jc w:val="center"/>
        <w:textAlignment w:val="auto"/>
        <w:outlineLvl w:val="9"/>
        <w:rPr>
          <w:rFonts w:ascii="楷体_GB2312" w:eastAsia="楷体_GB2312"/>
          <w:b/>
          <w:bCs/>
          <w:sz w:val="36"/>
          <w:szCs w:val="36"/>
        </w:rPr>
      </w:pPr>
      <w:r>
        <w:rPr>
          <w:rFonts w:hint="eastAsia" w:ascii="楷体_GB2312" w:eastAsia="楷体_GB2312"/>
          <w:b/>
          <w:bCs/>
          <w:sz w:val="36"/>
          <w:szCs w:val="36"/>
        </w:rPr>
        <w:t>中非合作迎重磅利好：中非首个自贸协定生效</w:t>
      </w:r>
    </w:p>
    <w:p>
      <w:pPr>
        <w:keepNext w:val="0"/>
        <w:keepLines w:val="0"/>
        <w:pageBreakBefore w:val="0"/>
        <w:kinsoku/>
        <w:wordWrap/>
        <w:overflowPunct/>
        <w:topLinePunct w:val="0"/>
        <w:autoSpaceDE/>
        <w:autoSpaceDN/>
        <w:bidi w:val="0"/>
        <w:adjustRightInd/>
        <w:snapToGrid/>
        <w:spacing w:line="420" w:lineRule="exact"/>
        <w:jc w:val="left"/>
        <w:textAlignment w:val="auto"/>
        <w:outlineLvl w:val="9"/>
        <w:rPr>
          <w:rFonts w:asciiTheme="minorEastAsia" w:hAnsiTheme="minorEastAsia"/>
          <w:sz w:val="24"/>
          <w:szCs w:val="24"/>
        </w:rPr>
      </w:pPr>
    </w:p>
    <w:p>
      <w:pPr>
        <w:keepNext w:val="0"/>
        <w:keepLines w:val="0"/>
        <w:pageBreakBefore w:val="0"/>
        <w:kinsoku/>
        <w:wordWrap/>
        <w:overflowPunct/>
        <w:topLinePunct w:val="0"/>
        <w:autoSpaceDE/>
        <w:autoSpaceDN/>
        <w:bidi w:val="0"/>
        <w:adjustRightInd/>
        <w:snapToGrid/>
        <w:spacing w:line="420" w:lineRule="exact"/>
        <w:ind w:firstLine="480" w:firstLineChars="200"/>
        <w:jc w:val="left"/>
        <w:textAlignment w:val="auto"/>
        <w:outlineLvl w:val="9"/>
        <w:rPr>
          <w:rFonts w:asciiTheme="minorEastAsia" w:hAnsiTheme="minorEastAsia"/>
          <w:sz w:val="24"/>
          <w:szCs w:val="24"/>
        </w:rPr>
        <w:sectPr>
          <w:type w:val="continuous"/>
          <w:pgSz w:w="11906" w:h="16838"/>
          <w:pgMar w:top="1440" w:right="1800" w:bottom="1440" w:left="1800" w:header="851" w:footer="992" w:gutter="0"/>
          <w:cols w:space="425" w:num="1"/>
          <w:docGrid w:type="lines" w:linePitch="312" w:charSpace="0"/>
        </w:sectPr>
      </w:pPr>
    </w:p>
    <w:p>
      <w:pPr>
        <w:keepNext w:val="0"/>
        <w:keepLines w:val="0"/>
        <w:pageBreakBefore w:val="0"/>
        <w:kinsoku/>
        <w:wordWrap/>
        <w:overflowPunct/>
        <w:topLinePunct w:val="0"/>
        <w:autoSpaceDE/>
        <w:autoSpaceDN/>
        <w:bidi w:val="0"/>
        <w:adjustRightInd/>
        <w:snapToGrid/>
        <w:spacing w:line="420" w:lineRule="exact"/>
        <w:ind w:firstLine="480" w:firstLineChars="200"/>
        <w:jc w:val="left"/>
        <w:textAlignment w:val="auto"/>
        <w:outlineLvl w:val="9"/>
        <w:rPr>
          <w:rFonts w:asciiTheme="minorEastAsia" w:hAnsiTheme="minorEastAsia"/>
          <w:sz w:val="24"/>
          <w:szCs w:val="24"/>
        </w:rPr>
      </w:pPr>
      <w:r>
        <w:rPr>
          <w:rFonts w:hint="eastAsia" w:asciiTheme="minorEastAsia" w:hAnsiTheme="minorEastAsia"/>
          <w:sz w:val="24"/>
          <w:szCs w:val="24"/>
        </w:rPr>
        <w:t>当地时间1月5日，世界银行在最新发布的《全球经济展望》中估算，在新冠肺炎疫情的冲击下，2020年撒哈拉以南非洲地区经济萎缩3.7%，衰退程度比去年6月的预测要严重0.9个百分点。受此影响，撒哈拉以南非洲地区人均收入下降了6.1%，导致该地区四分之一经济体的平均生活水平至少倒退了十年。</w:t>
      </w:r>
    </w:p>
    <w:p>
      <w:pPr>
        <w:keepNext w:val="0"/>
        <w:keepLines w:val="0"/>
        <w:pageBreakBefore w:val="0"/>
        <w:kinsoku/>
        <w:wordWrap/>
        <w:overflowPunct/>
        <w:topLinePunct w:val="0"/>
        <w:autoSpaceDE/>
        <w:autoSpaceDN/>
        <w:bidi w:val="0"/>
        <w:adjustRightInd/>
        <w:snapToGrid/>
        <w:spacing w:line="420" w:lineRule="exact"/>
        <w:ind w:firstLine="480" w:firstLineChars="200"/>
        <w:jc w:val="left"/>
        <w:textAlignment w:val="auto"/>
        <w:outlineLvl w:val="9"/>
        <w:rPr>
          <w:rFonts w:asciiTheme="minorEastAsia" w:hAnsiTheme="minorEastAsia"/>
          <w:sz w:val="24"/>
          <w:szCs w:val="24"/>
        </w:rPr>
      </w:pPr>
      <w:r>
        <w:rPr>
          <w:rFonts w:hint="eastAsia" w:asciiTheme="minorEastAsia" w:hAnsiTheme="minorEastAsia"/>
          <w:sz w:val="24"/>
          <w:szCs w:val="24"/>
        </w:rPr>
        <w:t>该地区经济衰退最严重的是那些国内疫情暴发严重以及高度依赖旅游业和大宗商品出口的国家。据世界银行估算，尼日利亚、南非和安哥拉的GDP在2020年分别萎缩了4.1%、7.8%和4.0%。</w:t>
      </w:r>
    </w:p>
    <w:p>
      <w:pPr>
        <w:keepNext w:val="0"/>
        <w:keepLines w:val="0"/>
        <w:pageBreakBefore w:val="0"/>
        <w:kinsoku/>
        <w:wordWrap/>
        <w:overflowPunct/>
        <w:topLinePunct w:val="0"/>
        <w:autoSpaceDE/>
        <w:autoSpaceDN/>
        <w:bidi w:val="0"/>
        <w:adjustRightInd/>
        <w:snapToGrid/>
        <w:spacing w:line="420" w:lineRule="exact"/>
        <w:ind w:firstLine="480" w:firstLineChars="200"/>
        <w:jc w:val="left"/>
        <w:textAlignment w:val="auto"/>
        <w:outlineLvl w:val="9"/>
        <w:rPr>
          <w:rFonts w:asciiTheme="minorEastAsia" w:hAnsiTheme="minorEastAsia"/>
          <w:sz w:val="24"/>
          <w:szCs w:val="24"/>
        </w:rPr>
      </w:pPr>
      <w:r>
        <w:rPr>
          <w:rFonts w:hint="eastAsia" w:asciiTheme="minorEastAsia" w:hAnsiTheme="minorEastAsia"/>
          <w:sz w:val="24"/>
          <w:szCs w:val="24"/>
        </w:rPr>
        <w:t>根据世界银行的预测，2021年该地区的经济增长有望反弹至2.7%，但比之前的预测要低0.4个百分点，这主要是因为私人消费和投资的复苏将慢于之前的预测。预计该地区今年的人均收入将继续下滑0.2%，成千上万的人在去年和今年陷入极端贫困。</w:t>
      </w:r>
    </w:p>
    <w:p>
      <w:pPr>
        <w:keepNext w:val="0"/>
        <w:keepLines w:val="0"/>
        <w:pageBreakBefore w:val="0"/>
        <w:kinsoku/>
        <w:wordWrap/>
        <w:overflowPunct/>
        <w:topLinePunct w:val="0"/>
        <w:autoSpaceDE/>
        <w:autoSpaceDN/>
        <w:bidi w:val="0"/>
        <w:adjustRightInd/>
        <w:snapToGrid/>
        <w:spacing w:line="420" w:lineRule="exact"/>
        <w:ind w:firstLine="480" w:firstLineChars="200"/>
        <w:jc w:val="left"/>
        <w:textAlignment w:val="auto"/>
        <w:outlineLvl w:val="9"/>
        <w:rPr>
          <w:rFonts w:asciiTheme="minorEastAsia" w:hAnsiTheme="minorEastAsia"/>
          <w:sz w:val="24"/>
          <w:szCs w:val="24"/>
        </w:rPr>
      </w:pPr>
      <w:r>
        <w:rPr>
          <w:rFonts w:hint="eastAsia" w:asciiTheme="minorEastAsia" w:hAnsiTheme="minorEastAsia"/>
          <w:sz w:val="24"/>
          <w:szCs w:val="24"/>
        </w:rPr>
        <w:t>不过，危中有机。随着中国等非洲主要贸易伙伴加快复苏步伐，非洲的出口增速将逐步加快。2019年，中非贸易额突破2000亿美元，是2000年的20倍，中国已经连续11年成为非洲的第一大贸易伙伴国。</w:t>
      </w:r>
    </w:p>
    <w:p>
      <w:pPr>
        <w:keepNext w:val="0"/>
        <w:keepLines w:val="0"/>
        <w:pageBreakBefore w:val="0"/>
        <w:kinsoku/>
        <w:wordWrap/>
        <w:overflowPunct/>
        <w:topLinePunct w:val="0"/>
        <w:autoSpaceDE/>
        <w:autoSpaceDN/>
        <w:bidi w:val="0"/>
        <w:adjustRightInd/>
        <w:snapToGrid/>
        <w:spacing w:line="420" w:lineRule="exact"/>
        <w:ind w:firstLine="480" w:firstLineChars="200"/>
        <w:jc w:val="left"/>
        <w:textAlignment w:val="auto"/>
        <w:outlineLvl w:val="9"/>
        <w:rPr>
          <w:rFonts w:asciiTheme="minorEastAsia" w:hAnsiTheme="minorEastAsia"/>
          <w:sz w:val="24"/>
          <w:szCs w:val="24"/>
        </w:rPr>
      </w:pPr>
      <w:r>
        <w:rPr>
          <w:rFonts w:hint="eastAsia" w:asciiTheme="minorEastAsia" w:hAnsiTheme="minorEastAsia"/>
          <w:sz w:val="24"/>
          <w:szCs w:val="24"/>
        </w:rPr>
        <w:t>商务部国际贸易经济合作研究院研究员梅新育在接受21世纪经济报道采访时指出，受疫情影响，2020年前11个月，以美元计算，中国对非洲出口同比增长0.6%，但自非洲进口锐减23.6%。这主要是因为非洲主要出口商品的价格出现了较大幅度下跌。今年，预计初级产品的价格会有所上涨，中国从非洲的进口额有望回升到前年的水平。</w:t>
      </w:r>
    </w:p>
    <w:p>
      <w:pPr>
        <w:keepNext w:val="0"/>
        <w:keepLines w:val="0"/>
        <w:pageBreakBefore w:val="0"/>
        <w:kinsoku/>
        <w:wordWrap/>
        <w:overflowPunct/>
        <w:topLinePunct w:val="0"/>
        <w:autoSpaceDE/>
        <w:autoSpaceDN/>
        <w:bidi w:val="0"/>
        <w:adjustRightInd/>
        <w:snapToGrid/>
        <w:spacing w:line="420" w:lineRule="exact"/>
        <w:ind w:firstLine="480" w:firstLineChars="200"/>
        <w:jc w:val="left"/>
        <w:textAlignment w:val="auto"/>
        <w:outlineLvl w:val="9"/>
        <w:rPr>
          <w:rFonts w:asciiTheme="minorEastAsia" w:hAnsiTheme="minorEastAsia"/>
          <w:sz w:val="24"/>
          <w:szCs w:val="24"/>
        </w:rPr>
      </w:pPr>
      <w:r>
        <w:rPr>
          <w:rFonts w:hint="eastAsia" w:asciiTheme="minorEastAsia" w:hAnsiTheme="minorEastAsia"/>
          <w:sz w:val="24"/>
          <w:szCs w:val="24"/>
        </w:rPr>
        <w:t>1月1日，在非洲大陆自由贸易区正式实施的同一天，中国和毛里求斯自由贸易协定正式生效实施。这是中国与非洲国家签署的第一个自贸协定，填补了我国现有自贸区网络格局中非洲地区的空白。中国外交部发言人华春莹1月5日在例行记者会上表示，中毛自贸协定如期生效实施，体现了中方坚定不移推动中非互利合作、深化中非传统友好的立场。</w:t>
      </w:r>
    </w:p>
    <w:p>
      <w:pPr>
        <w:keepNext w:val="0"/>
        <w:keepLines w:val="0"/>
        <w:pageBreakBefore w:val="0"/>
        <w:kinsoku/>
        <w:wordWrap/>
        <w:overflowPunct/>
        <w:topLinePunct w:val="0"/>
        <w:autoSpaceDE/>
        <w:autoSpaceDN/>
        <w:bidi w:val="0"/>
        <w:adjustRightInd/>
        <w:snapToGrid/>
        <w:spacing w:line="420" w:lineRule="exact"/>
        <w:ind w:firstLine="480" w:firstLineChars="200"/>
        <w:jc w:val="left"/>
        <w:textAlignment w:val="auto"/>
        <w:outlineLvl w:val="9"/>
        <w:rPr>
          <w:rFonts w:asciiTheme="minorEastAsia" w:hAnsiTheme="minorEastAsia"/>
          <w:sz w:val="24"/>
          <w:szCs w:val="24"/>
        </w:rPr>
      </w:pPr>
      <w:r>
        <w:rPr>
          <w:rFonts w:hint="eastAsia" w:asciiTheme="minorEastAsia" w:hAnsiTheme="minorEastAsia"/>
          <w:sz w:val="24"/>
          <w:szCs w:val="24"/>
        </w:rPr>
        <w:t>2017年12月，中毛双方启动自由贸易协定谈判。经过四轮谈判，2019年10月，我国和毛里求斯正式签署自贸协定。中毛双方业已分别完成生效程序，《协定》于2021年1月1日正式生效。双方货物贸易最终零关税税目比例均超过94%，占自对方进口额比例均接近93%。服务贸易领域双方承诺开放的分部门均超过100个，《协定》是毛方迄今在其服务领域开放水平最高的自贸协定。</w:t>
      </w:r>
    </w:p>
    <w:p>
      <w:pPr>
        <w:keepNext w:val="0"/>
        <w:keepLines w:val="0"/>
        <w:pageBreakBefore w:val="0"/>
        <w:kinsoku/>
        <w:wordWrap/>
        <w:overflowPunct/>
        <w:topLinePunct w:val="0"/>
        <w:autoSpaceDE/>
        <w:autoSpaceDN/>
        <w:bidi w:val="0"/>
        <w:adjustRightInd/>
        <w:snapToGrid/>
        <w:spacing w:line="420" w:lineRule="exact"/>
        <w:ind w:firstLine="482" w:firstLineChars="200"/>
        <w:jc w:val="left"/>
        <w:textAlignment w:val="auto"/>
        <w:outlineLvl w:val="9"/>
        <w:rPr>
          <w:rFonts w:asciiTheme="minorEastAsia" w:hAnsiTheme="minorEastAsia"/>
          <w:b/>
          <w:bCs/>
          <w:sz w:val="24"/>
          <w:szCs w:val="24"/>
        </w:rPr>
      </w:pPr>
      <w:r>
        <w:rPr>
          <w:rFonts w:hint="eastAsia" w:asciiTheme="minorEastAsia" w:hAnsiTheme="minorEastAsia"/>
          <w:b/>
          <w:bCs/>
          <w:sz w:val="24"/>
          <w:szCs w:val="24"/>
        </w:rPr>
        <w:t>填补自贸区网络中非洲地区空白</w:t>
      </w:r>
    </w:p>
    <w:p>
      <w:pPr>
        <w:keepNext w:val="0"/>
        <w:keepLines w:val="0"/>
        <w:pageBreakBefore w:val="0"/>
        <w:kinsoku/>
        <w:wordWrap/>
        <w:overflowPunct/>
        <w:topLinePunct w:val="0"/>
        <w:autoSpaceDE/>
        <w:autoSpaceDN/>
        <w:bidi w:val="0"/>
        <w:adjustRightInd/>
        <w:snapToGrid/>
        <w:spacing w:line="420" w:lineRule="exact"/>
        <w:ind w:firstLine="480" w:firstLineChars="200"/>
        <w:jc w:val="left"/>
        <w:textAlignment w:val="auto"/>
        <w:outlineLvl w:val="9"/>
        <w:rPr>
          <w:rFonts w:asciiTheme="minorEastAsia" w:hAnsiTheme="minorEastAsia"/>
          <w:sz w:val="24"/>
          <w:szCs w:val="24"/>
        </w:rPr>
      </w:pPr>
      <w:r>
        <w:rPr>
          <w:rFonts w:hint="eastAsia" w:asciiTheme="minorEastAsia" w:hAnsiTheme="minorEastAsia"/>
          <w:sz w:val="24"/>
          <w:szCs w:val="24"/>
        </w:rPr>
        <w:t>中国是毛里求斯重要的经贸合作伙伴。根据中方统计，2019年，双边贸易额达8.45亿美元。根据毛里求斯统计局贸易数据，中国是毛里求斯第二大贸易伙伴和第一大进口来源国。中毛双向投资日趋活跃，2019年中国对毛里求斯直接投资流量0.3亿美元，截至2019年底，中国在毛里求斯直接投资存量达10.28亿美元，主要集中在金融、房地产、制造业、旅游等领域。</w:t>
      </w:r>
    </w:p>
    <w:p>
      <w:pPr>
        <w:keepNext w:val="0"/>
        <w:keepLines w:val="0"/>
        <w:pageBreakBefore w:val="0"/>
        <w:kinsoku/>
        <w:wordWrap/>
        <w:overflowPunct/>
        <w:topLinePunct w:val="0"/>
        <w:autoSpaceDE/>
        <w:autoSpaceDN/>
        <w:bidi w:val="0"/>
        <w:adjustRightInd/>
        <w:snapToGrid/>
        <w:spacing w:line="420" w:lineRule="exact"/>
        <w:ind w:firstLine="480" w:firstLineChars="200"/>
        <w:jc w:val="left"/>
        <w:textAlignment w:val="auto"/>
        <w:outlineLvl w:val="9"/>
        <w:rPr>
          <w:rFonts w:asciiTheme="minorEastAsia" w:hAnsiTheme="minorEastAsia"/>
          <w:sz w:val="24"/>
          <w:szCs w:val="24"/>
        </w:rPr>
      </w:pPr>
      <w:r>
        <w:rPr>
          <w:rFonts w:hint="eastAsia" w:asciiTheme="minorEastAsia" w:hAnsiTheme="minorEastAsia"/>
          <w:sz w:val="24"/>
          <w:szCs w:val="24"/>
        </w:rPr>
        <w:t>上述商务部负责人称，《协定》将成为我国对非合作的新平台。“中毛两国自1972年建交以来，双边经贸关系稳步发展。毛里求斯推行自由经济和贸易政策，重视发展贸易和利用国际投资，充分融入世界贸易体系，致力于成为沟通非洲和亚洲的重要投资平台。我国企业通过毛里求斯进入非洲市场将获得更多优势和便利。”</w:t>
      </w:r>
    </w:p>
    <w:p>
      <w:pPr>
        <w:keepNext w:val="0"/>
        <w:keepLines w:val="0"/>
        <w:pageBreakBefore w:val="0"/>
        <w:kinsoku/>
        <w:wordWrap/>
        <w:overflowPunct/>
        <w:topLinePunct w:val="0"/>
        <w:autoSpaceDE/>
        <w:autoSpaceDN/>
        <w:bidi w:val="0"/>
        <w:adjustRightInd/>
        <w:snapToGrid/>
        <w:spacing w:line="420" w:lineRule="exact"/>
        <w:ind w:firstLine="480" w:firstLineChars="200"/>
        <w:jc w:val="left"/>
        <w:textAlignment w:val="auto"/>
        <w:outlineLvl w:val="9"/>
        <w:rPr>
          <w:rFonts w:asciiTheme="minorEastAsia" w:hAnsiTheme="minorEastAsia"/>
          <w:sz w:val="24"/>
          <w:szCs w:val="24"/>
        </w:rPr>
      </w:pPr>
      <w:r>
        <w:rPr>
          <w:rFonts w:hint="eastAsia" w:asciiTheme="minorEastAsia" w:hAnsiTheme="minorEastAsia"/>
          <w:sz w:val="24"/>
          <w:szCs w:val="24"/>
        </w:rPr>
        <w:t>商务部研究院西亚非洲研究所所长张建平在接受21世纪经济报道记者采访时指出，中央政治局在2014年集体学习自贸区战略时，就已经明确提出中国要逐步构筑起立足周边、辐射“一带一路”、面向全球的自由贸易区网络，但最近这些年，这个网络在非洲大陆还没有实现突破。中毛自贸协定等于是填补了这个空白，成为中国和非洲国家签署的第一份双边自贸协定。</w:t>
      </w:r>
    </w:p>
    <w:p>
      <w:pPr>
        <w:keepNext w:val="0"/>
        <w:keepLines w:val="0"/>
        <w:pageBreakBefore w:val="0"/>
        <w:kinsoku/>
        <w:wordWrap/>
        <w:overflowPunct/>
        <w:topLinePunct w:val="0"/>
        <w:autoSpaceDE/>
        <w:autoSpaceDN/>
        <w:bidi w:val="0"/>
        <w:adjustRightInd/>
        <w:snapToGrid/>
        <w:spacing w:line="420" w:lineRule="exact"/>
        <w:ind w:firstLine="480" w:firstLineChars="200"/>
        <w:jc w:val="left"/>
        <w:textAlignment w:val="auto"/>
        <w:outlineLvl w:val="9"/>
        <w:rPr>
          <w:rFonts w:asciiTheme="minorEastAsia" w:hAnsiTheme="minorEastAsia"/>
          <w:sz w:val="24"/>
          <w:szCs w:val="24"/>
        </w:rPr>
      </w:pPr>
      <w:r>
        <w:rPr>
          <w:rFonts w:hint="eastAsia" w:asciiTheme="minorEastAsia" w:hAnsiTheme="minorEastAsia"/>
          <w:sz w:val="24"/>
          <w:szCs w:val="24"/>
        </w:rPr>
        <w:t>“我们非常希望这个协定不仅能够促进中毛之间的贸易和投资进一步增长，同时，也能对中国同其他非洲国家的经贸合作起到引领和示范作用，鼓励更多的非洲国家同中国商谈自贸协定。”张建平说道。</w:t>
      </w:r>
    </w:p>
    <w:p>
      <w:pPr>
        <w:keepNext w:val="0"/>
        <w:keepLines w:val="0"/>
        <w:pageBreakBefore w:val="0"/>
        <w:kinsoku/>
        <w:wordWrap/>
        <w:overflowPunct/>
        <w:topLinePunct w:val="0"/>
        <w:autoSpaceDE/>
        <w:autoSpaceDN/>
        <w:bidi w:val="0"/>
        <w:adjustRightInd/>
        <w:snapToGrid/>
        <w:spacing w:line="420" w:lineRule="exact"/>
        <w:ind w:firstLine="480" w:firstLineChars="200"/>
        <w:jc w:val="left"/>
        <w:textAlignment w:val="auto"/>
        <w:outlineLvl w:val="9"/>
        <w:rPr>
          <w:rFonts w:asciiTheme="minorEastAsia" w:hAnsiTheme="minorEastAsia"/>
          <w:sz w:val="24"/>
          <w:szCs w:val="24"/>
        </w:rPr>
      </w:pPr>
      <w:r>
        <w:rPr>
          <w:rFonts w:hint="eastAsia" w:asciiTheme="minorEastAsia" w:hAnsiTheme="minorEastAsia"/>
          <w:sz w:val="24"/>
          <w:szCs w:val="24"/>
        </w:rPr>
        <w:t>张建平指出，毛里求斯虽然是一个小国，但它的营商环境在非洲是数一数二的，它的经济发展水平在非洲也处于领先行列。随着中毛自贸协定的生效，毛里求斯将有望成为中国企业进入非洲市场的一个有利的通道。</w:t>
      </w:r>
    </w:p>
    <w:p>
      <w:pPr>
        <w:keepNext w:val="0"/>
        <w:keepLines w:val="0"/>
        <w:pageBreakBefore w:val="0"/>
        <w:kinsoku/>
        <w:wordWrap/>
        <w:overflowPunct/>
        <w:topLinePunct w:val="0"/>
        <w:autoSpaceDE/>
        <w:autoSpaceDN/>
        <w:bidi w:val="0"/>
        <w:adjustRightInd/>
        <w:snapToGrid/>
        <w:spacing w:line="420" w:lineRule="exact"/>
        <w:ind w:firstLine="480" w:firstLineChars="200"/>
        <w:jc w:val="left"/>
        <w:textAlignment w:val="auto"/>
        <w:outlineLvl w:val="9"/>
        <w:rPr>
          <w:rFonts w:asciiTheme="minorEastAsia" w:hAnsiTheme="minorEastAsia"/>
          <w:sz w:val="24"/>
          <w:szCs w:val="24"/>
        </w:rPr>
      </w:pPr>
      <w:r>
        <w:rPr>
          <w:rFonts w:hint="eastAsia" w:asciiTheme="minorEastAsia" w:hAnsiTheme="minorEastAsia"/>
          <w:sz w:val="24"/>
          <w:szCs w:val="24"/>
        </w:rPr>
        <w:t>1月1日，覆盖54国、12亿人口的非洲大陆自由贸易区协议也正式生效，这标志着非洲国家朝着统一大市场迈出里程碑的一步。在非盟的55个成员国中，已经有54个签署了该自贸协定。世界银行的报告指出，如果非洲大陆自由贸易协定全面履行，到2035年非洲将获得近4500亿美元实际收益。</w:t>
      </w:r>
    </w:p>
    <w:p>
      <w:pPr>
        <w:keepNext w:val="0"/>
        <w:keepLines w:val="0"/>
        <w:pageBreakBefore w:val="0"/>
        <w:kinsoku/>
        <w:wordWrap/>
        <w:overflowPunct/>
        <w:topLinePunct w:val="0"/>
        <w:autoSpaceDE/>
        <w:autoSpaceDN/>
        <w:bidi w:val="0"/>
        <w:adjustRightInd/>
        <w:snapToGrid/>
        <w:spacing w:line="420" w:lineRule="exact"/>
        <w:ind w:firstLine="480" w:firstLineChars="200"/>
        <w:jc w:val="left"/>
        <w:textAlignment w:val="auto"/>
        <w:outlineLvl w:val="9"/>
        <w:rPr>
          <w:rFonts w:asciiTheme="minorEastAsia" w:hAnsiTheme="minorEastAsia"/>
          <w:sz w:val="24"/>
          <w:szCs w:val="24"/>
        </w:rPr>
      </w:pPr>
      <w:r>
        <w:rPr>
          <w:rFonts w:hint="eastAsia" w:asciiTheme="minorEastAsia" w:hAnsiTheme="minorEastAsia"/>
          <w:sz w:val="24"/>
          <w:szCs w:val="24"/>
        </w:rPr>
        <w:t>“这是非洲经济一体化进程中又一里程碑，充分体现了非洲国家联合自强、推动经济转型、掌握自身命运的坚定决心和坚实努力。”华春莹说，“特别是在当前新冠肺炎疫情冲击和国际形势不确定、不稳定因素交织的背景下，非洲自贸区的正式实施也将为维护多边主义和自由贸易、推动世界经济企稳复苏注入强劲动力。”</w:t>
      </w:r>
    </w:p>
    <w:p>
      <w:pPr>
        <w:keepNext w:val="0"/>
        <w:keepLines w:val="0"/>
        <w:pageBreakBefore w:val="0"/>
        <w:kinsoku/>
        <w:wordWrap/>
        <w:overflowPunct/>
        <w:topLinePunct w:val="0"/>
        <w:autoSpaceDE/>
        <w:autoSpaceDN/>
        <w:bidi w:val="0"/>
        <w:adjustRightInd/>
        <w:snapToGrid/>
        <w:spacing w:line="420" w:lineRule="exact"/>
        <w:ind w:firstLine="480" w:firstLineChars="200"/>
        <w:jc w:val="left"/>
        <w:textAlignment w:val="auto"/>
        <w:outlineLvl w:val="9"/>
        <w:rPr>
          <w:rFonts w:asciiTheme="minorEastAsia" w:hAnsiTheme="minorEastAsia"/>
          <w:sz w:val="24"/>
          <w:szCs w:val="24"/>
        </w:rPr>
      </w:pPr>
      <w:r>
        <w:rPr>
          <w:rFonts w:hint="eastAsia" w:asciiTheme="minorEastAsia" w:hAnsiTheme="minorEastAsia"/>
          <w:sz w:val="24"/>
          <w:szCs w:val="24"/>
        </w:rPr>
        <w:t>“我们相信，非洲自贸区的正式实施以及中毛自贸协定的生效，都将给中非合作带来新的机遇。我们愿继续支持非洲自贸区建设并同非洲国家探讨中非自贸合作，扩大非洲商品对华出口，为中非合作转型升级注入新的动力。”华春莹说道。</w:t>
      </w:r>
    </w:p>
    <w:p>
      <w:pPr>
        <w:keepNext w:val="0"/>
        <w:keepLines w:val="0"/>
        <w:pageBreakBefore w:val="0"/>
        <w:kinsoku/>
        <w:wordWrap/>
        <w:overflowPunct/>
        <w:topLinePunct w:val="0"/>
        <w:autoSpaceDE/>
        <w:autoSpaceDN/>
        <w:bidi w:val="0"/>
        <w:adjustRightInd/>
        <w:snapToGrid/>
        <w:spacing w:line="420" w:lineRule="exact"/>
        <w:ind w:firstLine="482" w:firstLineChars="200"/>
        <w:jc w:val="left"/>
        <w:textAlignment w:val="auto"/>
        <w:outlineLvl w:val="9"/>
        <w:rPr>
          <w:rFonts w:asciiTheme="minorEastAsia" w:hAnsiTheme="minorEastAsia"/>
          <w:b/>
          <w:bCs/>
          <w:sz w:val="24"/>
          <w:szCs w:val="24"/>
        </w:rPr>
      </w:pPr>
      <w:r>
        <w:rPr>
          <w:rFonts w:hint="eastAsia" w:asciiTheme="minorEastAsia" w:hAnsiTheme="minorEastAsia"/>
          <w:b/>
          <w:bCs/>
          <w:sz w:val="24"/>
          <w:szCs w:val="24"/>
        </w:rPr>
        <w:t>零关税贸易额占比超90%</w:t>
      </w:r>
    </w:p>
    <w:p>
      <w:pPr>
        <w:keepNext w:val="0"/>
        <w:keepLines w:val="0"/>
        <w:pageBreakBefore w:val="0"/>
        <w:kinsoku/>
        <w:wordWrap/>
        <w:overflowPunct/>
        <w:topLinePunct w:val="0"/>
        <w:autoSpaceDE/>
        <w:autoSpaceDN/>
        <w:bidi w:val="0"/>
        <w:adjustRightInd/>
        <w:snapToGrid/>
        <w:spacing w:line="420" w:lineRule="exact"/>
        <w:ind w:firstLine="480" w:firstLineChars="200"/>
        <w:jc w:val="left"/>
        <w:textAlignment w:val="auto"/>
        <w:outlineLvl w:val="9"/>
        <w:rPr>
          <w:rFonts w:asciiTheme="minorEastAsia" w:hAnsiTheme="minorEastAsia"/>
          <w:sz w:val="24"/>
          <w:szCs w:val="24"/>
        </w:rPr>
      </w:pPr>
      <w:r>
        <w:rPr>
          <w:rFonts w:hint="eastAsia" w:asciiTheme="minorEastAsia" w:hAnsiTheme="minorEastAsia"/>
          <w:sz w:val="24"/>
          <w:szCs w:val="24"/>
        </w:rPr>
        <w:t>1月1日，商务部世贸司负责人发表了长达4000余字的解读，详细介绍了中毛自贸协定的有关情况。</w:t>
      </w:r>
    </w:p>
    <w:p>
      <w:pPr>
        <w:keepNext w:val="0"/>
        <w:keepLines w:val="0"/>
        <w:pageBreakBefore w:val="0"/>
        <w:kinsoku/>
        <w:wordWrap/>
        <w:overflowPunct/>
        <w:topLinePunct w:val="0"/>
        <w:autoSpaceDE/>
        <w:autoSpaceDN/>
        <w:bidi w:val="0"/>
        <w:adjustRightInd/>
        <w:snapToGrid/>
        <w:spacing w:line="420" w:lineRule="exact"/>
        <w:ind w:firstLine="480" w:firstLineChars="200"/>
        <w:jc w:val="left"/>
        <w:textAlignment w:val="auto"/>
        <w:outlineLvl w:val="9"/>
        <w:rPr>
          <w:rFonts w:asciiTheme="minorEastAsia" w:hAnsiTheme="minorEastAsia"/>
          <w:sz w:val="24"/>
          <w:szCs w:val="24"/>
        </w:rPr>
      </w:pPr>
      <w:r>
        <w:rPr>
          <w:rFonts w:hint="eastAsia" w:asciiTheme="minorEastAsia" w:hAnsiTheme="minorEastAsia"/>
          <w:sz w:val="24"/>
          <w:szCs w:val="24"/>
        </w:rPr>
        <w:t>货物贸易方面，毛里求斯将通过最长5年降税期，对税目比例94.2%、占毛自我国进口额92.8%的产品逐步降税到零。我国目前对毛出口的主要产品，如钢铁制品、纺织品以及其他轻工产品等将从中获益。我国将通过最长7年降税期，对税目比例96.3%、占我国自毛进口额92.8%的产品逐步降税到零。毛里求斯的服装、海产品等对我国出口也将迎来增长。同时，双方在原产地规则和实施程序、卫生与植物卫生措施和技术性贸易壁垒等方面也达成了共识。</w:t>
      </w:r>
    </w:p>
    <w:p>
      <w:pPr>
        <w:keepNext w:val="0"/>
        <w:keepLines w:val="0"/>
        <w:pageBreakBefore w:val="0"/>
        <w:kinsoku/>
        <w:wordWrap/>
        <w:overflowPunct/>
        <w:topLinePunct w:val="0"/>
        <w:autoSpaceDE/>
        <w:autoSpaceDN/>
        <w:bidi w:val="0"/>
        <w:adjustRightInd/>
        <w:snapToGrid/>
        <w:spacing w:line="420" w:lineRule="exact"/>
        <w:ind w:firstLine="480" w:firstLineChars="200"/>
        <w:jc w:val="left"/>
        <w:textAlignment w:val="auto"/>
        <w:outlineLvl w:val="9"/>
        <w:rPr>
          <w:rFonts w:asciiTheme="minorEastAsia" w:hAnsiTheme="minorEastAsia"/>
          <w:sz w:val="24"/>
          <w:szCs w:val="24"/>
        </w:rPr>
      </w:pPr>
      <w:r>
        <w:rPr>
          <w:rFonts w:hint="eastAsia" w:asciiTheme="minorEastAsia" w:hAnsiTheme="minorEastAsia"/>
          <w:sz w:val="24"/>
          <w:szCs w:val="24"/>
        </w:rPr>
        <w:t>服务贸易方面，中毛双方采用正面清单方式，作出总体水平相当、利益平衡的开放承诺。毛方在金融、教育、建筑、旅游、健康等11个服务领域作出承诺，分部门超过130个。中方则在商业服务、金融、交通等领域大幅放宽对毛市场准入限制，总体开放水平远超我加入世贸组织承诺。此外，毛方对我首次完全开放中医服务市场，同意全面加强中医药交流合作，为我中医药“走出去”塑造了标杆。</w:t>
      </w:r>
    </w:p>
    <w:p>
      <w:pPr>
        <w:keepNext w:val="0"/>
        <w:keepLines w:val="0"/>
        <w:pageBreakBefore w:val="0"/>
        <w:kinsoku/>
        <w:wordWrap/>
        <w:overflowPunct/>
        <w:topLinePunct w:val="0"/>
        <w:autoSpaceDE/>
        <w:autoSpaceDN/>
        <w:bidi w:val="0"/>
        <w:adjustRightInd/>
        <w:snapToGrid/>
        <w:spacing w:line="420" w:lineRule="exact"/>
        <w:ind w:firstLine="480" w:firstLineChars="200"/>
        <w:jc w:val="left"/>
        <w:textAlignment w:val="auto"/>
        <w:outlineLvl w:val="9"/>
        <w:rPr>
          <w:rFonts w:asciiTheme="minorEastAsia" w:hAnsiTheme="minorEastAsia"/>
          <w:sz w:val="24"/>
          <w:szCs w:val="24"/>
        </w:rPr>
      </w:pPr>
      <w:r>
        <w:rPr>
          <w:rFonts w:hint="eastAsia" w:asciiTheme="minorEastAsia" w:hAnsiTheme="minorEastAsia"/>
          <w:sz w:val="24"/>
          <w:szCs w:val="24"/>
        </w:rPr>
        <w:t>投资方面，中毛自贸协定《投资》章节对1996年签署的中毛投资保护协定进行了升级，在保护范围、保护水平、争端解决机制等方面均有较大改进。这不仅将为我国企业赴毛里求斯投资提供更加有力的法律保障，也有助于企业以该国为平台，进一步拓展对非洲的投资合作。在金融、旅游、通讯信息、建筑、加工制造等行业，中国与毛里求斯具有高度的互补性和合作潜力，《协定》可有力促进两国在这些投资领域的互利共赢。</w:t>
      </w:r>
    </w:p>
    <w:p>
      <w:pPr>
        <w:keepNext w:val="0"/>
        <w:keepLines w:val="0"/>
        <w:pageBreakBefore w:val="0"/>
        <w:kinsoku/>
        <w:wordWrap/>
        <w:overflowPunct/>
        <w:topLinePunct w:val="0"/>
        <w:autoSpaceDE/>
        <w:autoSpaceDN/>
        <w:bidi w:val="0"/>
        <w:adjustRightInd/>
        <w:snapToGrid/>
        <w:spacing w:line="420" w:lineRule="exact"/>
        <w:ind w:firstLine="480" w:firstLineChars="200"/>
        <w:jc w:val="left"/>
        <w:textAlignment w:val="auto"/>
        <w:outlineLvl w:val="9"/>
        <w:rPr>
          <w:rFonts w:asciiTheme="minorEastAsia" w:hAnsiTheme="minorEastAsia"/>
          <w:sz w:val="24"/>
          <w:szCs w:val="24"/>
        </w:rPr>
      </w:pPr>
      <w:r>
        <w:rPr>
          <w:rFonts w:hint="eastAsia" w:asciiTheme="minorEastAsia" w:hAnsiTheme="minorEastAsia"/>
          <w:sz w:val="24"/>
          <w:szCs w:val="24"/>
        </w:rPr>
        <w:t>在梅新育看来，中毛自贸协定最重要的意义并不在毛里求斯国内的市场。“毛里求斯本身是一个离岸金融中心，是非洲自由度最高的金融中心和自贸港，未来可以成为中国企业在非洲开展经贸合作的基地。统计数据显示，印度最大的外资来源地是毛里求斯，可见其离岸金融中心地位的突出。”</w:t>
      </w:r>
    </w:p>
    <w:p>
      <w:pPr>
        <w:keepNext w:val="0"/>
        <w:keepLines w:val="0"/>
        <w:pageBreakBefore w:val="0"/>
        <w:kinsoku/>
        <w:wordWrap/>
        <w:overflowPunct/>
        <w:topLinePunct w:val="0"/>
        <w:autoSpaceDE/>
        <w:autoSpaceDN/>
        <w:bidi w:val="0"/>
        <w:adjustRightInd/>
        <w:snapToGrid/>
        <w:spacing w:line="420" w:lineRule="exact"/>
        <w:ind w:firstLine="480" w:firstLineChars="200"/>
        <w:jc w:val="left"/>
        <w:textAlignment w:val="auto"/>
        <w:outlineLvl w:val="9"/>
        <w:rPr>
          <w:rFonts w:asciiTheme="minorEastAsia" w:hAnsiTheme="minorEastAsia"/>
          <w:sz w:val="24"/>
          <w:szCs w:val="24"/>
        </w:rPr>
      </w:pPr>
      <w:r>
        <w:rPr>
          <w:rFonts w:hint="eastAsia" w:asciiTheme="minorEastAsia" w:hAnsiTheme="minorEastAsia"/>
          <w:sz w:val="24"/>
          <w:szCs w:val="24"/>
        </w:rPr>
        <w:t>上述负责人介绍，金融服务将是中毛双方的重点合作领域之一。规则方面，《协定》就金融服务制定了单独附件，双方同意将在国内规制、监管透明度、承认等领域加强合作。市场准入方面，毛里求斯在保险、银行、证券等服务部门对中方作出高水平开放承诺，允许中国企业在毛设立商业存在，并给予国民待遇。中方则在加入世贸组织承诺基础上，纳入金融领域最新开放政策。《协定》将为中毛金融机构进入双方市场创造良好营商环境和发展机遇，也将为推动两国金融部门更紧密和更深入的合作提供契机。</w:t>
      </w:r>
    </w:p>
    <w:p>
      <w:pPr>
        <w:keepNext w:val="0"/>
        <w:keepLines w:val="0"/>
        <w:pageBreakBefore w:val="0"/>
        <w:kinsoku/>
        <w:wordWrap/>
        <w:overflowPunct/>
        <w:topLinePunct w:val="0"/>
        <w:autoSpaceDE/>
        <w:autoSpaceDN/>
        <w:bidi w:val="0"/>
        <w:adjustRightInd/>
        <w:snapToGrid/>
        <w:spacing w:line="420" w:lineRule="exact"/>
        <w:ind w:firstLine="480" w:firstLineChars="200"/>
        <w:jc w:val="left"/>
        <w:textAlignment w:val="auto"/>
        <w:outlineLvl w:val="9"/>
        <w:rPr>
          <w:rFonts w:asciiTheme="minorEastAsia" w:hAnsiTheme="minorEastAsia"/>
          <w:sz w:val="24"/>
          <w:szCs w:val="24"/>
        </w:rPr>
      </w:pPr>
      <w:r>
        <w:rPr>
          <w:rFonts w:hint="eastAsia" w:asciiTheme="minorEastAsia" w:hAnsiTheme="minorEastAsia"/>
          <w:sz w:val="24"/>
          <w:szCs w:val="24"/>
        </w:rPr>
        <w:t>梅新育认为，除了促进中非经贸合作，《协定》能否促进中国同印度洋国家的经贸合作和资本往来，这也是值得关注的内容。</w:t>
      </w:r>
    </w:p>
    <w:p>
      <w:pPr>
        <w:keepNext w:val="0"/>
        <w:keepLines w:val="0"/>
        <w:pageBreakBefore w:val="0"/>
        <w:kinsoku/>
        <w:wordWrap/>
        <w:overflowPunct/>
        <w:topLinePunct w:val="0"/>
        <w:autoSpaceDE/>
        <w:autoSpaceDN/>
        <w:bidi w:val="0"/>
        <w:adjustRightInd/>
        <w:snapToGrid/>
        <w:spacing w:line="420" w:lineRule="exact"/>
        <w:ind w:firstLine="482" w:firstLineChars="200"/>
        <w:jc w:val="left"/>
        <w:textAlignment w:val="auto"/>
        <w:outlineLvl w:val="9"/>
        <w:rPr>
          <w:rFonts w:asciiTheme="minorEastAsia" w:hAnsiTheme="minorEastAsia"/>
          <w:b/>
          <w:bCs/>
          <w:sz w:val="24"/>
          <w:szCs w:val="24"/>
        </w:rPr>
      </w:pPr>
      <w:r>
        <w:rPr>
          <w:rFonts w:hint="eastAsia" w:asciiTheme="minorEastAsia" w:hAnsiTheme="minorEastAsia"/>
          <w:b/>
          <w:bCs/>
          <w:sz w:val="24"/>
          <w:szCs w:val="24"/>
        </w:rPr>
        <w:t>中非友谊经受住疫情考验</w:t>
      </w:r>
    </w:p>
    <w:p>
      <w:pPr>
        <w:keepNext w:val="0"/>
        <w:keepLines w:val="0"/>
        <w:pageBreakBefore w:val="0"/>
        <w:kinsoku/>
        <w:wordWrap/>
        <w:overflowPunct/>
        <w:topLinePunct w:val="0"/>
        <w:autoSpaceDE/>
        <w:autoSpaceDN/>
        <w:bidi w:val="0"/>
        <w:adjustRightInd/>
        <w:snapToGrid/>
        <w:spacing w:line="420" w:lineRule="exact"/>
        <w:ind w:firstLine="480" w:firstLineChars="200"/>
        <w:jc w:val="left"/>
        <w:textAlignment w:val="auto"/>
        <w:outlineLvl w:val="9"/>
        <w:rPr>
          <w:rFonts w:asciiTheme="minorEastAsia" w:hAnsiTheme="minorEastAsia"/>
          <w:sz w:val="24"/>
          <w:szCs w:val="24"/>
        </w:rPr>
      </w:pPr>
      <w:r>
        <w:rPr>
          <w:rFonts w:hint="eastAsia" w:asciiTheme="minorEastAsia" w:hAnsiTheme="minorEastAsia"/>
          <w:sz w:val="24"/>
          <w:szCs w:val="24"/>
        </w:rPr>
        <w:t>新年伊始，中国国务委员兼外交部长王毅于1月4日开始对尼日利亚、刚果（金）、博茨瓦纳、坦桑尼亚和塞舌尔进行正式访问。这是中国外长自1991年以来连续第31年新年首访前往非洲。中国外交部称，此访体现了中方对发展中非关系的高度重视，也显示了中方对在后疫情时期深化同非洲国家友好关系的真诚意愿和坚定决心。</w:t>
      </w:r>
    </w:p>
    <w:p>
      <w:pPr>
        <w:keepNext w:val="0"/>
        <w:keepLines w:val="0"/>
        <w:pageBreakBefore w:val="0"/>
        <w:kinsoku/>
        <w:wordWrap/>
        <w:overflowPunct/>
        <w:topLinePunct w:val="0"/>
        <w:autoSpaceDE/>
        <w:autoSpaceDN/>
        <w:bidi w:val="0"/>
        <w:adjustRightInd/>
        <w:snapToGrid/>
        <w:spacing w:line="420" w:lineRule="exact"/>
        <w:ind w:firstLine="480" w:firstLineChars="200"/>
        <w:jc w:val="left"/>
        <w:textAlignment w:val="auto"/>
        <w:outlineLvl w:val="9"/>
        <w:rPr>
          <w:rFonts w:asciiTheme="minorEastAsia" w:hAnsiTheme="minorEastAsia"/>
          <w:sz w:val="24"/>
          <w:szCs w:val="24"/>
        </w:rPr>
      </w:pPr>
      <w:r>
        <w:rPr>
          <w:rFonts w:hint="eastAsia" w:asciiTheme="minorEastAsia" w:hAnsiTheme="minorEastAsia"/>
          <w:sz w:val="24"/>
          <w:szCs w:val="24"/>
        </w:rPr>
        <w:t>王毅近日在接受采访时表示，2020年，中非友谊经受疫情考验得到新的升华。中方向非洲派出医疗专家组，建立医院对口合作，提供急需抗疫物资，及时开展疫苗合作，中方援建的非洲疾控中心总部项目最近开工奠基，成为中非团结抗疫的历史见证。双方加快落实中非合作论坛北京峰会成果，尤其是加强卫生健康行动。中方还同非洲12国签署缓债协议，减免15国到期无息贷款，成为G20成员中缓债金额最大的国家。</w:t>
      </w:r>
    </w:p>
    <w:p>
      <w:pPr>
        <w:keepNext w:val="0"/>
        <w:keepLines w:val="0"/>
        <w:pageBreakBefore w:val="0"/>
        <w:kinsoku/>
        <w:wordWrap/>
        <w:overflowPunct/>
        <w:topLinePunct w:val="0"/>
        <w:autoSpaceDE/>
        <w:autoSpaceDN/>
        <w:bidi w:val="0"/>
        <w:adjustRightInd/>
        <w:snapToGrid/>
        <w:spacing w:line="420" w:lineRule="exact"/>
        <w:ind w:firstLine="480" w:firstLineChars="200"/>
        <w:jc w:val="left"/>
        <w:textAlignment w:val="auto"/>
        <w:outlineLvl w:val="9"/>
        <w:rPr>
          <w:rFonts w:asciiTheme="minorEastAsia" w:hAnsiTheme="minorEastAsia"/>
          <w:sz w:val="24"/>
          <w:szCs w:val="24"/>
        </w:rPr>
      </w:pPr>
      <w:r>
        <w:rPr>
          <w:rFonts w:hint="eastAsia" w:asciiTheme="minorEastAsia" w:hAnsiTheme="minorEastAsia"/>
          <w:sz w:val="24"/>
          <w:szCs w:val="24"/>
        </w:rPr>
        <w:t>2021年恰逢落实2018中非合作论坛北京峰会成果的收官之年，也是新一届中非合作发展规划的布局之年。展望新的一年，王毅表示，中非将在塞内加尔举办新一届论坛会议，中方愿同非方以此为契机，围绕疫苗合作、经济复苏、转型发展三大重点，凝聚团结新共识，开拓合作新领域，增进民生新福祉，继续做相互支持的好兄弟、共同发展的好伙伴、同甘共苦的好战友，推动中非命运共同体建设不断取得新进展。</w:t>
      </w:r>
    </w:p>
    <w:p>
      <w:pPr>
        <w:keepNext w:val="0"/>
        <w:keepLines w:val="0"/>
        <w:pageBreakBefore w:val="0"/>
        <w:kinsoku/>
        <w:wordWrap/>
        <w:overflowPunct/>
        <w:topLinePunct w:val="0"/>
        <w:autoSpaceDE/>
        <w:autoSpaceDN/>
        <w:bidi w:val="0"/>
        <w:adjustRightInd/>
        <w:snapToGrid/>
        <w:spacing w:line="420" w:lineRule="exact"/>
        <w:ind w:firstLine="480" w:firstLineChars="200"/>
        <w:jc w:val="left"/>
        <w:textAlignment w:val="auto"/>
        <w:outlineLvl w:val="9"/>
        <w:rPr>
          <w:rFonts w:asciiTheme="minorEastAsia" w:hAnsiTheme="minorEastAsia"/>
          <w:sz w:val="24"/>
          <w:szCs w:val="24"/>
        </w:rPr>
      </w:pPr>
      <w:r>
        <w:rPr>
          <w:rFonts w:hint="eastAsia" w:asciiTheme="minorEastAsia" w:hAnsiTheme="minorEastAsia"/>
          <w:sz w:val="24"/>
          <w:szCs w:val="24"/>
        </w:rPr>
        <w:t>中国社会科学院西亚非洲研究所研究员贺文萍向21世纪经济报道记者指出，虽然目前还无法预测2021年新冠肺炎疫情的发展走向，但无论如何，帮助和推动非洲经济复苏和保证民生与就业将是中非合作论坛未来行动计划的重要方面。</w:t>
      </w:r>
    </w:p>
    <w:p>
      <w:pPr>
        <w:keepNext w:val="0"/>
        <w:keepLines w:val="0"/>
        <w:pageBreakBefore w:val="0"/>
        <w:kinsoku/>
        <w:wordWrap/>
        <w:overflowPunct/>
        <w:topLinePunct w:val="0"/>
        <w:autoSpaceDE/>
        <w:autoSpaceDN/>
        <w:bidi w:val="0"/>
        <w:adjustRightInd/>
        <w:snapToGrid/>
        <w:spacing w:line="420" w:lineRule="exact"/>
        <w:ind w:firstLine="480" w:firstLineChars="200"/>
        <w:jc w:val="left"/>
        <w:textAlignment w:val="auto"/>
        <w:outlineLvl w:val="9"/>
        <w:rPr>
          <w:rFonts w:asciiTheme="minorEastAsia" w:hAnsiTheme="minorEastAsia"/>
          <w:sz w:val="24"/>
          <w:szCs w:val="24"/>
        </w:rPr>
      </w:pPr>
      <w:r>
        <w:rPr>
          <w:rFonts w:hint="eastAsia" w:asciiTheme="minorEastAsia" w:hAnsiTheme="minorEastAsia"/>
          <w:sz w:val="24"/>
          <w:szCs w:val="24"/>
        </w:rPr>
        <w:t>在她看来，在过去的近20年里，中非经济发展态势呈现出高度的正相关关系，也就是说，中国经济和中非经贸关系的快速发展与非洲经济的稳步增长同步，双方互为彼此的增长动力。中国的技术、资金、发展经验与非洲的市场、资源和发展潜力形成黄金互补。这种经济结构上的高度互补性并不会因疫情的冲击而改变。在后疫情时代，随着供应链和生产链的恢复，中非经贸合作可望很快重返巅峰。</w:t>
      </w:r>
    </w:p>
    <w:p>
      <w:pPr>
        <w:keepNext w:val="0"/>
        <w:keepLines w:val="0"/>
        <w:pageBreakBefore w:val="0"/>
        <w:kinsoku/>
        <w:wordWrap/>
        <w:overflowPunct/>
        <w:topLinePunct w:val="0"/>
        <w:autoSpaceDE/>
        <w:autoSpaceDN/>
        <w:bidi w:val="0"/>
        <w:adjustRightInd/>
        <w:snapToGrid/>
        <w:spacing w:line="420" w:lineRule="exact"/>
        <w:ind w:firstLine="480" w:firstLineChars="200"/>
        <w:jc w:val="left"/>
        <w:textAlignment w:val="auto"/>
        <w:outlineLvl w:val="9"/>
        <w:rPr>
          <w:rFonts w:asciiTheme="minorEastAsia" w:hAnsiTheme="minorEastAsia"/>
          <w:sz w:val="24"/>
          <w:szCs w:val="24"/>
        </w:rPr>
      </w:pPr>
      <w:r>
        <w:rPr>
          <w:rFonts w:hint="eastAsia" w:asciiTheme="minorEastAsia" w:hAnsiTheme="minorEastAsia"/>
          <w:sz w:val="24"/>
          <w:szCs w:val="24"/>
        </w:rPr>
        <w:t>张建平指出，非洲大陆自贸区的正式实施意味着，34个已完成本国相关法律程序的成员将会形成一个统一的大市场，在市场准入以及贸易投资自由化、便利化方面的规则将趋于一致。这样的自贸区显然是有利于中非合作论坛框架下“八大行动”的推进，因为统一的市场规则将大大减少产品流通、人员往来和资金流动的障碍，提升贸易和投资的效率、减少相应的成本。</w:t>
      </w:r>
    </w:p>
    <w:p>
      <w:pPr>
        <w:keepNext w:val="0"/>
        <w:keepLines w:val="0"/>
        <w:pageBreakBefore w:val="0"/>
        <w:kinsoku/>
        <w:wordWrap/>
        <w:overflowPunct/>
        <w:topLinePunct w:val="0"/>
        <w:autoSpaceDE/>
        <w:autoSpaceDN/>
        <w:bidi w:val="0"/>
        <w:adjustRightInd/>
        <w:snapToGrid/>
        <w:spacing w:line="420" w:lineRule="exact"/>
        <w:ind w:firstLine="480" w:firstLineChars="200"/>
        <w:jc w:val="left"/>
        <w:textAlignment w:val="auto"/>
        <w:outlineLvl w:val="9"/>
        <w:rPr>
          <w:rFonts w:asciiTheme="minorEastAsia" w:hAnsiTheme="minorEastAsia"/>
          <w:sz w:val="24"/>
          <w:szCs w:val="24"/>
        </w:rPr>
      </w:pPr>
      <w:r>
        <w:rPr>
          <w:rFonts w:hint="eastAsia" w:asciiTheme="minorEastAsia" w:hAnsiTheme="minorEastAsia"/>
          <w:sz w:val="24"/>
          <w:szCs w:val="24"/>
        </w:rPr>
        <w:t>张建平强调，该自贸区的实施不仅有利于推动中非经贸合作，也将有助于提升中非整体合作水平，从而加快非洲“三网一化”建设，帮助非洲逐步实现联合国2030年可持续发展目标。</w:t>
      </w:r>
    </w:p>
    <w:p>
      <w:pPr>
        <w:keepNext w:val="0"/>
        <w:keepLines w:val="0"/>
        <w:pageBreakBefore w:val="0"/>
        <w:kinsoku/>
        <w:wordWrap/>
        <w:overflowPunct/>
        <w:topLinePunct w:val="0"/>
        <w:autoSpaceDE/>
        <w:autoSpaceDN/>
        <w:bidi w:val="0"/>
        <w:adjustRightInd/>
        <w:snapToGrid/>
        <w:spacing w:line="420" w:lineRule="exact"/>
        <w:ind w:firstLine="480" w:firstLineChars="200"/>
        <w:jc w:val="left"/>
        <w:textAlignment w:val="auto"/>
        <w:outlineLvl w:val="9"/>
        <w:rPr>
          <w:rFonts w:asciiTheme="minorEastAsia" w:hAnsiTheme="minorEastAsia"/>
          <w:sz w:val="24"/>
          <w:szCs w:val="24"/>
        </w:rPr>
      </w:pPr>
      <w:r>
        <w:rPr>
          <w:rFonts w:hint="eastAsia" w:asciiTheme="minorEastAsia" w:hAnsiTheme="minorEastAsia"/>
          <w:sz w:val="24"/>
          <w:szCs w:val="24"/>
        </w:rPr>
        <w:t>尽管如此，梅新育指出，今年，中非贸易往来还面临一些不确定性：一是非洲疫情能否被控制住，二是美国新政府是否会干扰中非合作。在新的形势下，中非经贸合作需要与时俱进，不断改善。（21世纪经济报道01-07）</w:t>
      </w:r>
    </w:p>
    <w:p>
      <w:pPr>
        <w:keepNext w:val="0"/>
        <w:keepLines w:val="0"/>
        <w:pageBreakBefore w:val="0"/>
        <w:kinsoku/>
        <w:wordWrap/>
        <w:overflowPunct/>
        <w:topLinePunct w:val="0"/>
        <w:autoSpaceDE/>
        <w:autoSpaceDN/>
        <w:bidi w:val="0"/>
        <w:adjustRightInd/>
        <w:snapToGrid/>
        <w:spacing w:line="420" w:lineRule="exact"/>
        <w:jc w:val="left"/>
        <w:textAlignment w:val="auto"/>
        <w:outlineLvl w:val="9"/>
        <w:rPr>
          <w:rFonts w:asciiTheme="minorEastAsia" w:hAnsiTheme="minorEastAsia"/>
          <w:sz w:val="24"/>
          <w:szCs w:val="24"/>
        </w:rPr>
        <w:sectPr>
          <w:type w:val="continuous"/>
          <w:pgSz w:w="11906" w:h="16838"/>
          <w:pgMar w:top="1440" w:right="1800" w:bottom="1440" w:left="1800" w:header="851" w:footer="992" w:gutter="0"/>
          <w:cols w:space="425" w:num="2"/>
          <w:docGrid w:type="lines" w:linePitch="312" w:charSpace="0"/>
        </w:sectPr>
      </w:pPr>
    </w:p>
    <w:p>
      <w:pPr>
        <w:keepNext w:val="0"/>
        <w:keepLines w:val="0"/>
        <w:pageBreakBefore w:val="0"/>
        <w:kinsoku/>
        <w:wordWrap/>
        <w:overflowPunct/>
        <w:topLinePunct w:val="0"/>
        <w:autoSpaceDE/>
        <w:autoSpaceDN/>
        <w:bidi w:val="0"/>
        <w:adjustRightInd/>
        <w:snapToGrid/>
        <w:spacing w:line="420" w:lineRule="exact"/>
        <w:jc w:val="left"/>
        <w:textAlignment w:val="auto"/>
        <w:outlineLvl w:val="9"/>
        <w:rPr>
          <w:rFonts w:asciiTheme="minorEastAsia" w:hAnsiTheme="minorEastAsia"/>
          <w:sz w:val="24"/>
          <w:szCs w:val="24"/>
        </w:rPr>
      </w:pPr>
    </w:p>
    <w:p>
      <w:pPr>
        <w:keepNext w:val="0"/>
        <w:keepLines w:val="0"/>
        <w:pageBreakBefore w:val="0"/>
        <w:kinsoku/>
        <w:wordWrap/>
        <w:overflowPunct/>
        <w:topLinePunct w:val="0"/>
        <w:autoSpaceDE/>
        <w:autoSpaceDN/>
        <w:bidi w:val="0"/>
        <w:adjustRightInd/>
        <w:snapToGrid/>
        <w:spacing w:line="420" w:lineRule="exact"/>
        <w:jc w:val="left"/>
        <w:textAlignment w:val="auto"/>
        <w:outlineLvl w:val="9"/>
        <w:rPr>
          <w:rFonts w:asciiTheme="minorEastAsia" w:hAnsiTheme="minorEastAsia"/>
          <w:sz w:val="24"/>
          <w:szCs w:val="24"/>
        </w:rPr>
      </w:pPr>
    </w:p>
    <w:p>
      <w:pPr>
        <w:keepNext w:val="0"/>
        <w:keepLines w:val="0"/>
        <w:pageBreakBefore w:val="0"/>
        <w:kinsoku/>
        <w:wordWrap/>
        <w:overflowPunct/>
        <w:topLinePunct w:val="0"/>
        <w:autoSpaceDE/>
        <w:autoSpaceDN/>
        <w:bidi w:val="0"/>
        <w:adjustRightInd/>
        <w:snapToGrid/>
        <w:spacing w:line="420" w:lineRule="exact"/>
        <w:jc w:val="left"/>
        <w:textAlignment w:val="auto"/>
        <w:outlineLvl w:val="9"/>
        <w:rPr>
          <w:rFonts w:asciiTheme="minorEastAsia" w:hAnsiTheme="minorEastAsia"/>
          <w:sz w:val="24"/>
          <w:szCs w:val="24"/>
        </w:rPr>
      </w:pPr>
    </w:p>
    <w:p>
      <w:pPr>
        <w:keepNext w:val="0"/>
        <w:keepLines w:val="0"/>
        <w:pageBreakBefore w:val="0"/>
        <w:kinsoku/>
        <w:wordWrap/>
        <w:overflowPunct/>
        <w:topLinePunct w:val="0"/>
        <w:autoSpaceDE/>
        <w:autoSpaceDN/>
        <w:bidi w:val="0"/>
        <w:adjustRightInd/>
        <w:snapToGrid/>
        <w:spacing w:line="420" w:lineRule="exact"/>
        <w:jc w:val="center"/>
        <w:textAlignment w:val="auto"/>
        <w:outlineLvl w:val="9"/>
        <w:rPr>
          <w:rFonts w:asciiTheme="minorEastAsia" w:hAnsiTheme="minorEastAsia"/>
          <w:b/>
          <w:bCs/>
          <w:sz w:val="24"/>
          <w:szCs w:val="24"/>
        </w:rPr>
      </w:pPr>
      <w:r>
        <w:rPr>
          <w:rFonts w:hint="eastAsia" w:ascii="楷体_GB2312" w:eastAsia="楷体_GB2312" w:hAnsiTheme="minorEastAsia"/>
          <w:b/>
          <w:bCs/>
          <w:sz w:val="36"/>
          <w:szCs w:val="36"/>
        </w:rPr>
        <w:t>多国积极扶持中小企业发展</w:t>
      </w:r>
    </w:p>
    <w:p>
      <w:pPr>
        <w:keepNext w:val="0"/>
        <w:keepLines w:val="0"/>
        <w:pageBreakBefore w:val="0"/>
        <w:kinsoku/>
        <w:wordWrap/>
        <w:overflowPunct/>
        <w:topLinePunct w:val="0"/>
        <w:autoSpaceDE/>
        <w:autoSpaceDN/>
        <w:bidi w:val="0"/>
        <w:adjustRightInd/>
        <w:snapToGrid/>
        <w:spacing w:line="420" w:lineRule="exact"/>
        <w:jc w:val="left"/>
        <w:textAlignment w:val="auto"/>
        <w:outlineLvl w:val="9"/>
        <w:rPr>
          <w:rFonts w:asciiTheme="minorEastAsia" w:hAnsiTheme="minorEastAsia"/>
          <w:sz w:val="24"/>
          <w:szCs w:val="24"/>
        </w:rPr>
      </w:pPr>
    </w:p>
    <w:p>
      <w:pPr>
        <w:pStyle w:val="7"/>
        <w:keepNext w:val="0"/>
        <w:keepLines w:val="0"/>
        <w:pageBreakBefore w:val="0"/>
        <w:shd w:val="clear" w:color="auto" w:fill="FFFFFF"/>
        <w:kinsoku/>
        <w:wordWrap/>
        <w:overflowPunct/>
        <w:topLinePunct w:val="0"/>
        <w:autoSpaceDE/>
        <w:autoSpaceDN/>
        <w:bidi w:val="0"/>
        <w:adjustRightInd/>
        <w:snapToGrid/>
        <w:spacing w:beforeAutospacing="0" w:afterAutospacing="0" w:line="420" w:lineRule="exact"/>
        <w:ind w:firstLine="480" w:firstLineChars="200"/>
        <w:textAlignment w:val="auto"/>
        <w:outlineLvl w:val="9"/>
        <w:rPr>
          <w:rFonts w:asciiTheme="minorEastAsia" w:hAnsiTheme="minorEastAsia"/>
          <w:color w:val="000000"/>
          <w:szCs w:val="24"/>
        </w:rPr>
        <w:sectPr>
          <w:type w:val="continuous"/>
          <w:pgSz w:w="11906" w:h="16838"/>
          <w:pgMar w:top="1440" w:right="1800" w:bottom="1440" w:left="1800" w:header="851" w:footer="992" w:gutter="0"/>
          <w:cols w:space="425" w:num="1"/>
          <w:docGrid w:type="lines" w:linePitch="312" w:charSpace="0"/>
        </w:sectPr>
      </w:pPr>
    </w:p>
    <w:p>
      <w:pPr>
        <w:pStyle w:val="7"/>
        <w:keepNext w:val="0"/>
        <w:keepLines w:val="0"/>
        <w:pageBreakBefore w:val="0"/>
        <w:shd w:val="clear" w:color="auto" w:fill="FFFFFF"/>
        <w:kinsoku/>
        <w:wordWrap/>
        <w:overflowPunct/>
        <w:topLinePunct w:val="0"/>
        <w:autoSpaceDE/>
        <w:autoSpaceDN/>
        <w:bidi w:val="0"/>
        <w:adjustRightInd/>
        <w:snapToGrid/>
        <w:spacing w:beforeAutospacing="0" w:afterAutospacing="0" w:line="420" w:lineRule="exact"/>
        <w:ind w:firstLine="480" w:firstLineChars="200"/>
        <w:textAlignment w:val="auto"/>
        <w:outlineLvl w:val="9"/>
        <w:rPr>
          <w:rFonts w:asciiTheme="minorEastAsia" w:hAnsiTheme="minorEastAsia"/>
          <w:color w:val="000000"/>
          <w:szCs w:val="24"/>
        </w:rPr>
      </w:pPr>
      <w:r>
        <w:rPr>
          <w:rFonts w:hint="eastAsia" w:asciiTheme="minorEastAsia" w:hAnsiTheme="minorEastAsia"/>
          <w:color w:val="000000"/>
          <w:szCs w:val="24"/>
        </w:rPr>
        <w:t>税费减免、工资补贴、金融救助、数字化转型、建立长效机制……疫情防控期间，多国持续出台救助措施为中小企业纾困解难，并推动中小企业数字化转型，提高自主创新能力，促进中小企业可持续增长。</w:t>
      </w:r>
    </w:p>
    <w:p>
      <w:pPr>
        <w:pStyle w:val="7"/>
        <w:keepNext w:val="0"/>
        <w:keepLines w:val="0"/>
        <w:pageBreakBefore w:val="0"/>
        <w:shd w:val="clear" w:color="auto" w:fill="FFFFFF"/>
        <w:kinsoku/>
        <w:wordWrap/>
        <w:overflowPunct/>
        <w:topLinePunct w:val="0"/>
        <w:autoSpaceDE/>
        <w:autoSpaceDN/>
        <w:bidi w:val="0"/>
        <w:adjustRightInd/>
        <w:snapToGrid/>
        <w:spacing w:beforeAutospacing="0" w:afterAutospacing="0" w:line="420" w:lineRule="exact"/>
        <w:textAlignment w:val="auto"/>
        <w:outlineLvl w:val="9"/>
        <w:rPr>
          <w:rFonts w:asciiTheme="minorEastAsia" w:hAnsiTheme="minorEastAsia"/>
          <w:color w:val="000000"/>
          <w:szCs w:val="24"/>
        </w:rPr>
      </w:pPr>
      <w:r>
        <w:rPr>
          <w:rFonts w:hint="eastAsia" w:asciiTheme="minorEastAsia" w:hAnsiTheme="minorEastAsia"/>
          <w:color w:val="000000"/>
          <w:szCs w:val="24"/>
        </w:rPr>
        <w:t>中小企业是经济发展和就业的重要贡献者。世界银行指出，中小企业贡献了全球90%的商业活动，创造了一半以上的就业岗位。面对疫情给中小企业带来的巨大挑战，多国综合施策，相继出台紧急救助措施，支持中小企业渡过难关，同时加大保护知识产权力度，关注中小企业长远发展。</w:t>
      </w:r>
    </w:p>
    <w:p>
      <w:pPr>
        <w:pStyle w:val="7"/>
        <w:keepNext w:val="0"/>
        <w:keepLines w:val="0"/>
        <w:pageBreakBefore w:val="0"/>
        <w:shd w:val="clear" w:color="auto" w:fill="FFFFFF"/>
        <w:kinsoku/>
        <w:wordWrap/>
        <w:overflowPunct/>
        <w:topLinePunct w:val="0"/>
        <w:autoSpaceDE/>
        <w:autoSpaceDN/>
        <w:bidi w:val="0"/>
        <w:adjustRightInd/>
        <w:snapToGrid/>
        <w:spacing w:beforeAutospacing="0" w:afterAutospacing="0" w:line="420" w:lineRule="exact"/>
        <w:textAlignment w:val="auto"/>
        <w:outlineLvl w:val="9"/>
        <w:rPr>
          <w:rFonts w:asciiTheme="minorEastAsia" w:hAnsiTheme="minorEastAsia"/>
          <w:color w:val="000000"/>
          <w:szCs w:val="24"/>
        </w:rPr>
      </w:pPr>
      <w:r>
        <w:rPr>
          <w:rFonts w:hint="eastAsia" w:asciiTheme="minorEastAsia" w:hAnsiTheme="minorEastAsia"/>
          <w:color w:val="000000"/>
          <w:szCs w:val="24"/>
        </w:rPr>
        <w:t>　　</w:t>
      </w:r>
      <w:r>
        <w:rPr>
          <w:rStyle w:val="9"/>
          <w:rFonts w:hint="eastAsia" w:asciiTheme="minorEastAsia" w:hAnsiTheme="minorEastAsia"/>
          <w:color w:val="000000"/>
          <w:szCs w:val="24"/>
        </w:rPr>
        <w:t>政府纾困措施持续出台</w:t>
      </w:r>
      <w:r>
        <w:rPr>
          <w:rFonts w:hint="eastAsia" w:asciiTheme="minorEastAsia" w:hAnsiTheme="minorEastAsia"/>
          <w:color w:val="000000"/>
          <w:szCs w:val="24"/>
        </w:rPr>
        <w:t> </w:t>
      </w:r>
    </w:p>
    <w:p>
      <w:pPr>
        <w:pStyle w:val="7"/>
        <w:keepNext w:val="0"/>
        <w:keepLines w:val="0"/>
        <w:pageBreakBefore w:val="0"/>
        <w:shd w:val="clear" w:color="auto" w:fill="FFFFFF"/>
        <w:kinsoku/>
        <w:wordWrap/>
        <w:overflowPunct/>
        <w:topLinePunct w:val="0"/>
        <w:autoSpaceDE/>
        <w:autoSpaceDN/>
        <w:bidi w:val="0"/>
        <w:adjustRightInd/>
        <w:snapToGrid/>
        <w:spacing w:beforeAutospacing="0" w:afterAutospacing="0" w:line="420" w:lineRule="exact"/>
        <w:textAlignment w:val="auto"/>
        <w:outlineLvl w:val="9"/>
        <w:rPr>
          <w:rFonts w:asciiTheme="minorEastAsia" w:hAnsiTheme="minorEastAsia"/>
          <w:color w:val="000000"/>
          <w:szCs w:val="24"/>
        </w:rPr>
      </w:pPr>
      <w:r>
        <w:rPr>
          <w:rFonts w:hint="eastAsia" w:asciiTheme="minorEastAsia" w:hAnsiTheme="minorEastAsia"/>
          <w:color w:val="000000"/>
          <w:szCs w:val="24"/>
        </w:rPr>
        <w:t>　　疫情冲击下，中小企业资金链面临较大压力。多国出台企业振兴计划，通过税费减免、政府补贴、金融救助等措施降低中小企业损失。</w:t>
      </w:r>
    </w:p>
    <w:p>
      <w:pPr>
        <w:pStyle w:val="7"/>
        <w:keepNext w:val="0"/>
        <w:keepLines w:val="0"/>
        <w:pageBreakBefore w:val="0"/>
        <w:shd w:val="clear" w:color="auto" w:fill="FFFFFF"/>
        <w:kinsoku/>
        <w:wordWrap/>
        <w:overflowPunct/>
        <w:topLinePunct w:val="0"/>
        <w:autoSpaceDE/>
        <w:autoSpaceDN/>
        <w:bidi w:val="0"/>
        <w:adjustRightInd/>
        <w:snapToGrid/>
        <w:spacing w:beforeAutospacing="0" w:afterAutospacing="0" w:line="420" w:lineRule="exact"/>
        <w:textAlignment w:val="auto"/>
        <w:outlineLvl w:val="9"/>
        <w:rPr>
          <w:rFonts w:asciiTheme="minorEastAsia" w:hAnsiTheme="minorEastAsia"/>
          <w:color w:val="000000"/>
          <w:szCs w:val="24"/>
        </w:rPr>
      </w:pPr>
      <w:r>
        <w:rPr>
          <w:rFonts w:hint="eastAsia" w:asciiTheme="minorEastAsia" w:hAnsiTheme="minorEastAsia"/>
          <w:color w:val="000000"/>
          <w:szCs w:val="24"/>
        </w:rPr>
        <w:t>　　日本经济产业省向受疫情影响销售额同比下降50%以上的个体户（含自由职业者）发放上限100万日元（约合9600美元），向中小企业等发放上限200万日元的“持续化补贴”。通过“经济增长战略行动计划”，日本政府促进中小企业合并、扩大经营规模、提升生产效率，并计划对出让中小企业的企业主提供税收优惠，对扩大规模的企业提供财政补助和金融支持。</w:t>
      </w:r>
    </w:p>
    <w:p>
      <w:pPr>
        <w:pStyle w:val="7"/>
        <w:keepNext w:val="0"/>
        <w:keepLines w:val="0"/>
        <w:pageBreakBefore w:val="0"/>
        <w:shd w:val="clear" w:color="auto" w:fill="FFFFFF"/>
        <w:kinsoku/>
        <w:wordWrap/>
        <w:overflowPunct/>
        <w:topLinePunct w:val="0"/>
        <w:autoSpaceDE/>
        <w:autoSpaceDN/>
        <w:bidi w:val="0"/>
        <w:adjustRightInd/>
        <w:snapToGrid/>
        <w:spacing w:beforeAutospacing="0" w:afterAutospacing="0" w:line="420" w:lineRule="exact"/>
        <w:textAlignment w:val="auto"/>
        <w:outlineLvl w:val="9"/>
        <w:rPr>
          <w:rFonts w:asciiTheme="minorEastAsia" w:hAnsiTheme="minorEastAsia"/>
          <w:color w:val="000000"/>
          <w:szCs w:val="24"/>
        </w:rPr>
      </w:pPr>
      <w:r>
        <w:rPr>
          <w:rFonts w:hint="eastAsia" w:asciiTheme="minorEastAsia" w:hAnsiTheme="minorEastAsia"/>
          <w:color w:val="000000"/>
          <w:szCs w:val="24"/>
        </w:rPr>
        <w:t>　　自2020年11月起，法国提高了“团结基金”发放的范围及额度，因行政措施关闭的企业和个体户可得到每月最高1万欧元的补贴。欧洲投资银行集团和法国巴黎银行推出了新的证券化业务，在未来两年内为法国中小企业发放5.15亿欧元的新贷款。法国中小企业还可申请推迟缴纳社会保险及所得税，延期支付水电费等。</w:t>
      </w:r>
    </w:p>
    <w:p>
      <w:pPr>
        <w:pStyle w:val="7"/>
        <w:keepNext w:val="0"/>
        <w:keepLines w:val="0"/>
        <w:pageBreakBefore w:val="0"/>
        <w:shd w:val="clear" w:color="auto" w:fill="FFFFFF"/>
        <w:kinsoku/>
        <w:wordWrap/>
        <w:overflowPunct/>
        <w:topLinePunct w:val="0"/>
        <w:autoSpaceDE/>
        <w:autoSpaceDN/>
        <w:bidi w:val="0"/>
        <w:adjustRightInd/>
        <w:snapToGrid/>
        <w:spacing w:beforeAutospacing="0" w:afterAutospacing="0" w:line="420" w:lineRule="exact"/>
        <w:textAlignment w:val="auto"/>
        <w:outlineLvl w:val="9"/>
        <w:rPr>
          <w:rFonts w:asciiTheme="minorEastAsia" w:hAnsiTheme="minorEastAsia"/>
          <w:color w:val="000000"/>
          <w:szCs w:val="24"/>
        </w:rPr>
      </w:pPr>
      <w:r>
        <w:rPr>
          <w:rFonts w:hint="eastAsia" w:asciiTheme="minorEastAsia" w:hAnsiTheme="minorEastAsia"/>
          <w:color w:val="000000"/>
          <w:szCs w:val="24"/>
        </w:rPr>
        <w:t>　　针对中小企业融资难问题，沙特央行推出规模为500亿里亚尔（约合130亿美元）的一揽子援助计划，其中包括延期付款、优惠融资和免除贷款担保方案费用等。韩国政府为旅游行业的中小企业提供总额500亿韩元（约合4570万美元）、利率为1%的无担保贷款。</w:t>
      </w:r>
    </w:p>
    <w:p>
      <w:pPr>
        <w:pStyle w:val="7"/>
        <w:keepNext w:val="0"/>
        <w:keepLines w:val="0"/>
        <w:pageBreakBefore w:val="0"/>
        <w:shd w:val="clear" w:color="auto" w:fill="FFFFFF"/>
        <w:kinsoku/>
        <w:wordWrap/>
        <w:overflowPunct/>
        <w:topLinePunct w:val="0"/>
        <w:autoSpaceDE/>
        <w:autoSpaceDN/>
        <w:bidi w:val="0"/>
        <w:adjustRightInd/>
        <w:snapToGrid/>
        <w:spacing w:beforeAutospacing="0" w:afterAutospacing="0" w:line="420" w:lineRule="exact"/>
        <w:textAlignment w:val="auto"/>
        <w:outlineLvl w:val="9"/>
        <w:rPr>
          <w:rFonts w:asciiTheme="minorEastAsia" w:hAnsiTheme="minorEastAsia"/>
          <w:color w:val="000000"/>
          <w:szCs w:val="24"/>
        </w:rPr>
      </w:pPr>
      <w:r>
        <w:rPr>
          <w:rFonts w:hint="eastAsia" w:asciiTheme="minorEastAsia" w:hAnsiTheme="minorEastAsia"/>
          <w:color w:val="000000"/>
          <w:szCs w:val="24"/>
        </w:rPr>
        <w:t>　　为缓解中小企业压力，一些国家扩大了公共采购。法国加快了建筑、化工等部门采购的审批程序。丹麦和以色列为采购的货物提供预付款。泰国要求政府年采购额的30%或以上需来自中小企业。</w:t>
      </w:r>
    </w:p>
    <w:p>
      <w:pPr>
        <w:pStyle w:val="7"/>
        <w:keepNext w:val="0"/>
        <w:keepLines w:val="0"/>
        <w:pageBreakBefore w:val="0"/>
        <w:shd w:val="clear" w:color="auto" w:fill="FFFFFF"/>
        <w:kinsoku/>
        <w:wordWrap/>
        <w:overflowPunct/>
        <w:topLinePunct w:val="0"/>
        <w:autoSpaceDE/>
        <w:autoSpaceDN/>
        <w:bidi w:val="0"/>
        <w:adjustRightInd/>
        <w:snapToGrid/>
        <w:spacing w:beforeAutospacing="0" w:afterAutospacing="0" w:line="420" w:lineRule="exact"/>
        <w:textAlignment w:val="auto"/>
        <w:outlineLvl w:val="9"/>
        <w:rPr>
          <w:rFonts w:asciiTheme="minorEastAsia" w:hAnsiTheme="minorEastAsia"/>
          <w:color w:val="000000"/>
          <w:szCs w:val="24"/>
        </w:rPr>
      </w:pPr>
      <w:r>
        <w:rPr>
          <w:rFonts w:hint="eastAsia" w:asciiTheme="minorEastAsia" w:hAnsiTheme="minorEastAsia"/>
          <w:color w:val="000000"/>
          <w:szCs w:val="24"/>
        </w:rPr>
        <w:t>　　法国波尔多大学管理学教授奥利维耶·巴博表示，各国政府采取纾困措施，支持陷入困境的中小企业并帮助他们恢复投资和生产，这对稳定就业市场、促进经济复苏具有十分重要的意义。</w:t>
      </w:r>
    </w:p>
    <w:p>
      <w:pPr>
        <w:pStyle w:val="7"/>
        <w:keepNext w:val="0"/>
        <w:keepLines w:val="0"/>
        <w:pageBreakBefore w:val="0"/>
        <w:shd w:val="clear" w:color="auto" w:fill="FFFFFF"/>
        <w:kinsoku/>
        <w:wordWrap/>
        <w:overflowPunct/>
        <w:topLinePunct w:val="0"/>
        <w:autoSpaceDE/>
        <w:autoSpaceDN/>
        <w:bidi w:val="0"/>
        <w:adjustRightInd/>
        <w:snapToGrid/>
        <w:spacing w:beforeAutospacing="0" w:afterAutospacing="0" w:line="420" w:lineRule="exact"/>
        <w:textAlignment w:val="auto"/>
        <w:outlineLvl w:val="9"/>
        <w:rPr>
          <w:rFonts w:asciiTheme="minorEastAsia" w:hAnsiTheme="minorEastAsia"/>
          <w:color w:val="000000"/>
          <w:szCs w:val="24"/>
        </w:rPr>
      </w:pPr>
      <w:r>
        <w:rPr>
          <w:rFonts w:hint="eastAsia" w:asciiTheme="minorEastAsia" w:hAnsiTheme="minorEastAsia"/>
          <w:color w:val="000000"/>
          <w:szCs w:val="24"/>
        </w:rPr>
        <w:t>　</w:t>
      </w:r>
      <w:r>
        <w:rPr>
          <w:rStyle w:val="9"/>
          <w:rFonts w:hint="eastAsia" w:asciiTheme="minorEastAsia" w:hAnsiTheme="minorEastAsia"/>
          <w:color w:val="000000"/>
          <w:szCs w:val="24"/>
        </w:rPr>
        <w:t>　数字化转型增强发展韧性</w:t>
      </w:r>
      <w:r>
        <w:rPr>
          <w:rFonts w:hint="eastAsia" w:asciiTheme="minorEastAsia" w:hAnsiTheme="minorEastAsia"/>
          <w:color w:val="000000"/>
          <w:szCs w:val="24"/>
        </w:rPr>
        <w:t> </w:t>
      </w:r>
    </w:p>
    <w:p>
      <w:pPr>
        <w:pStyle w:val="7"/>
        <w:keepNext w:val="0"/>
        <w:keepLines w:val="0"/>
        <w:pageBreakBefore w:val="0"/>
        <w:shd w:val="clear" w:color="auto" w:fill="FFFFFF"/>
        <w:kinsoku/>
        <w:wordWrap/>
        <w:overflowPunct/>
        <w:topLinePunct w:val="0"/>
        <w:autoSpaceDE/>
        <w:autoSpaceDN/>
        <w:bidi w:val="0"/>
        <w:adjustRightInd/>
        <w:snapToGrid/>
        <w:spacing w:beforeAutospacing="0" w:afterAutospacing="0" w:line="420" w:lineRule="exact"/>
        <w:textAlignment w:val="auto"/>
        <w:outlineLvl w:val="9"/>
        <w:rPr>
          <w:rFonts w:asciiTheme="minorEastAsia" w:hAnsiTheme="minorEastAsia"/>
          <w:color w:val="000000"/>
          <w:szCs w:val="24"/>
        </w:rPr>
      </w:pPr>
      <w:r>
        <w:rPr>
          <w:rFonts w:hint="eastAsia" w:asciiTheme="minorEastAsia" w:hAnsiTheme="minorEastAsia"/>
          <w:color w:val="000000"/>
          <w:szCs w:val="24"/>
        </w:rPr>
        <w:t>　　在荷兰代尔夫特，一家名为RoboHouse的智能工业实验室帮助中小企业了解机器人的最新应用，并以最低风险接入数字技术；在格罗宁根，一家专门研究传感器技术的智能工厂，可为中小企业提供能跟踪空气湿度、温度等各类数据的传感器……目前，荷兰已有5家人工智能应用实验室，针对中小企业需求提供人工智能技术支持。</w:t>
      </w:r>
    </w:p>
    <w:p>
      <w:pPr>
        <w:pStyle w:val="7"/>
        <w:keepNext w:val="0"/>
        <w:keepLines w:val="0"/>
        <w:pageBreakBefore w:val="0"/>
        <w:shd w:val="clear" w:color="auto" w:fill="FFFFFF"/>
        <w:kinsoku/>
        <w:wordWrap/>
        <w:overflowPunct/>
        <w:topLinePunct w:val="0"/>
        <w:autoSpaceDE/>
        <w:autoSpaceDN/>
        <w:bidi w:val="0"/>
        <w:adjustRightInd/>
        <w:snapToGrid/>
        <w:spacing w:beforeAutospacing="0" w:afterAutospacing="0" w:line="420" w:lineRule="exact"/>
        <w:textAlignment w:val="auto"/>
        <w:outlineLvl w:val="9"/>
        <w:rPr>
          <w:rFonts w:asciiTheme="minorEastAsia" w:hAnsiTheme="minorEastAsia"/>
          <w:color w:val="000000"/>
          <w:szCs w:val="24"/>
        </w:rPr>
      </w:pPr>
      <w:r>
        <w:rPr>
          <w:rFonts w:hint="eastAsia" w:asciiTheme="minorEastAsia" w:hAnsiTheme="minorEastAsia"/>
          <w:color w:val="000000"/>
          <w:szCs w:val="24"/>
        </w:rPr>
        <w:t>　　疫情防控期间，数字技术迅速发展，数字化工作和生活方式日趋流行。微软对中小企业主的一项调查显示，多数受访者认为数字化有利于优化流程、升级产品、促进国际化等。多国政府积极鼓励中小企业生产和经营的数字化转型，拓展新市场，增强中小企业发展韧性。</w:t>
      </w:r>
    </w:p>
    <w:p>
      <w:pPr>
        <w:pStyle w:val="7"/>
        <w:keepNext w:val="0"/>
        <w:keepLines w:val="0"/>
        <w:pageBreakBefore w:val="0"/>
        <w:shd w:val="clear" w:color="auto" w:fill="FFFFFF"/>
        <w:kinsoku/>
        <w:wordWrap/>
        <w:overflowPunct/>
        <w:topLinePunct w:val="0"/>
        <w:autoSpaceDE/>
        <w:autoSpaceDN/>
        <w:bidi w:val="0"/>
        <w:adjustRightInd/>
        <w:snapToGrid/>
        <w:spacing w:beforeAutospacing="0" w:afterAutospacing="0" w:line="420" w:lineRule="exact"/>
        <w:textAlignment w:val="auto"/>
        <w:outlineLvl w:val="9"/>
        <w:rPr>
          <w:rFonts w:asciiTheme="minorEastAsia" w:hAnsiTheme="minorEastAsia"/>
          <w:color w:val="000000"/>
          <w:szCs w:val="24"/>
        </w:rPr>
      </w:pPr>
      <w:r>
        <w:rPr>
          <w:rFonts w:hint="eastAsia" w:asciiTheme="minorEastAsia" w:hAnsiTheme="minorEastAsia"/>
          <w:color w:val="000000"/>
          <w:szCs w:val="24"/>
        </w:rPr>
        <w:t>　　由数字行业公司组成的“奥地利数字团队”项目，为奥地利中小企业提供至少3个月的免费数字服务，帮助其进行远程办公。意大利技术创新与数字化部发起“数字团结”倡议，企业在网站注册后，可以免费访问大型私营企业提供的远程工作、视频会议等数字服务。</w:t>
      </w:r>
    </w:p>
    <w:p>
      <w:pPr>
        <w:pStyle w:val="7"/>
        <w:keepNext w:val="0"/>
        <w:keepLines w:val="0"/>
        <w:pageBreakBefore w:val="0"/>
        <w:shd w:val="clear" w:color="auto" w:fill="FFFFFF"/>
        <w:kinsoku/>
        <w:wordWrap/>
        <w:overflowPunct/>
        <w:topLinePunct w:val="0"/>
        <w:autoSpaceDE/>
        <w:autoSpaceDN/>
        <w:bidi w:val="0"/>
        <w:adjustRightInd/>
        <w:snapToGrid/>
        <w:spacing w:beforeAutospacing="0" w:afterAutospacing="0" w:line="420" w:lineRule="exact"/>
        <w:textAlignment w:val="auto"/>
        <w:outlineLvl w:val="9"/>
        <w:rPr>
          <w:rFonts w:asciiTheme="minorEastAsia" w:hAnsiTheme="minorEastAsia"/>
          <w:color w:val="000000"/>
          <w:szCs w:val="24"/>
        </w:rPr>
      </w:pPr>
      <w:r>
        <w:rPr>
          <w:rFonts w:hint="eastAsia" w:asciiTheme="minorEastAsia" w:hAnsiTheme="minorEastAsia"/>
          <w:color w:val="000000"/>
          <w:szCs w:val="24"/>
        </w:rPr>
        <w:t>　　面对法国中小企业数字化程度较低的问题，法国政府投入3.85亿欧元支持中小企业数字化转型，并对数字化解决方案进行招标，帮助中小企业扩展电商业务。法国中小型企业联合会还与社交平台合作增加线上销售渠道。</w:t>
      </w:r>
    </w:p>
    <w:p>
      <w:pPr>
        <w:pStyle w:val="7"/>
        <w:keepNext w:val="0"/>
        <w:keepLines w:val="0"/>
        <w:pageBreakBefore w:val="0"/>
        <w:shd w:val="clear" w:color="auto" w:fill="FFFFFF"/>
        <w:kinsoku/>
        <w:wordWrap/>
        <w:overflowPunct/>
        <w:topLinePunct w:val="0"/>
        <w:autoSpaceDE/>
        <w:autoSpaceDN/>
        <w:bidi w:val="0"/>
        <w:adjustRightInd/>
        <w:snapToGrid/>
        <w:spacing w:beforeAutospacing="0" w:afterAutospacing="0" w:line="420" w:lineRule="exact"/>
        <w:textAlignment w:val="auto"/>
        <w:outlineLvl w:val="9"/>
        <w:rPr>
          <w:rFonts w:asciiTheme="minorEastAsia" w:hAnsiTheme="minorEastAsia"/>
          <w:color w:val="000000"/>
          <w:szCs w:val="24"/>
        </w:rPr>
      </w:pPr>
      <w:r>
        <w:rPr>
          <w:rFonts w:hint="eastAsia" w:asciiTheme="minorEastAsia" w:hAnsiTheme="minorEastAsia"/>
          <w:color w:val="000000"/>
          <w:szCs w:val="24"/>
        </w:rPr>
        <w:t>　　针对中小企业普遍存在的数字技能不足问题，东盟中小企业学院为中小企业提供免费数字技能培训，以提高其获得金融产品、信息服务、商业投入、技术和创新、拓展区域及全球市场的机会。拉脱维亚和波兰政府支持初创企业和中小企业举行编程交流活动，以帮助找到应对危机的创新解决方案。</w:t>
      </w:r>
    </w:p>
    <w:p>
      <w:pPr>
        <w:pStyle w:val="7"/>
        <w:keepNext w:val="0"/>
        <w:keepLines w:val="0"/>
        <w:pageBreakBefore w:val="0"/>
        <w:shd w:val="clear" w:color="auto" w:fill="FFFFFF"/>
        <w:kinsoku/>
        <w:wordWrap/>
        <w:overflowPunct/>
        <w:topLinePunct w:val="0"/>
        <w:autoSpaceDE/>
        <w:autoSpaceDN/>
        <w:bidi w:val="0"/>
        <w:adjustRightInd/>
        <w:snapToGrid/>
        <w:spacing w:beforeAutospacing="0" w:afterAutospacing="0" w:line="420" w:lineRule="exact"/>
        <w:textAlignment w:val="auto"/>
        <w:outlineLvl w:val="9"/>
        <w:rPr>
          <w:rFonts w:asciiTheme="minorEastAsia" w:hAnsiTheme="minorEastAsia"/>
          <w:color w:val="000000"/>
          <w:szCs w:val="24"/>
        </w:rPr>
      </w:pPr>
      <w:r>
        <w:rPr>
          <w:rFonts w:hint="eastAsia" w:asciiTheme="minorEastAsia" w:hAnsiTheme="minorEastAsia"/>
          <w:color w:val="000000"/>
          <w:szCs w:val="24"/>
        </w:rPr>
        <w:t>　　经合组织指出，提升中小企业数字化水平，将有利于应对紧迫的短期经济挑战，同时也将提高中小企业发展韧性，使它们提高竞争力和应对新挑战的能力。法国《世界报》文章指出，中小企业如果能加速使用数字技术、调整商业模式，将在增加就业、经济复苏过程中发挥关键作用。</w:t>
      </w:r>
    </w:p>
    <w:p>
      <w:pPr>
        <w:pStyle w:val="7"/>
        <w:keepNext w:val="0"/>
        <w:keepLines w:val="0"/>
        <w:pageBreakBefore w:val="0"/>
        <w:shd w:val="clear" w:color="auto" w:fill="FFFFFF"/>
        <w:kinsoku/>
        <w:wordWrap/>
        <w:overflowPunct/>
        <w:topLinePunct w:val="0"/>
        <w:autoSpaceDE/>
        <w:autoSpaceDN/>
        <w:bidi w:val="0"/>
        <w:adjustRightInd/>
        <w:snapToGrid/>
        <w:spacing w:beforeAutospacing="0" w:afterAutospacing="0" w:line="420" w:lineRule="exact"/>
        <w:textAlignment w:val="auto"/>
        <w:outlineLvl w:val="9"/>
        <w:rPr>
          <w:rFonts w:asciiTheme="minorEastAsia" w:hAnsiTheme="minorEastAsia"/>
          <w:color w:val="000000"/>
          <w:szCs w:val="24"/>
        </w:rPr>
      </w:pPr>
      <w:r>
        <w:rPr>
          <w:rFonts w:hint="eastAsia" w:asciiTheme="minorEastAsia" w:hAnsiTheme="minorEastAsia"/>
          <w:color w:val="000000"/>
          <w:szCs w:val="24"/>
        </w:rPr>
        <w:t>　</w:t>
      </w:r>
      <w:r>
        <w:rPr>
          <w:rStyle w:val="9"/>
          <w:rFonts w:hint="eastAsia" w:asciiTheme="minorEastAsia" w:hAnsiTheme="minorEastAsia"/>
          <w:color w:val="000000"/>
          <w:szCs w:val="24"/>
        </w:rPr>
        <w:t>　鼓励广泛参与创新经济</w:t>
      </w:r>
      <w:r>
        <w:rPr>
          <w:rFonts w:hint="eastAsia" w:asciiTheme="minorEastAsia" w:hAnsiTheme="minorEastAsia"/>
          <w:color w:val="000000"/>
          <w:szCs w:val="24"/>
        </w:rPr>
        <w:t> </w:t>
      </w:r>
    </w:p>
    <w:p>
      <w:pPr>
        <w:pStyle w:val="7"/>
        <w:keepNext w:val="0"/>
        <w:keepLines w:val="0"/>
        <w:pageBreakBefore w:val="0"/>
        <w:shd w:val="clear" w:color="auto" w:fill="FFFFFF"/>
        <w:kinsoku/>
        <w:wordWrap/>
        <w:overflowPunct/>
        <w:topLinePunct w:val="0"/>
        <w:autoSpaceDE/>
        <w:autoSpaceDN/>
        <w:bidi w:val="0"/>
        <w:adjustRightInd/>
        <w:snapToGrid/>
        <w:spacing w:beforeAutospacing="0" w:afterAutospacing="0" w:line="420" w:lineRule="exact"/>
        <w:textAlignment w:val="auto"/>
        <w:outlineLvl w:val="9"/>
        <w:rPr>
          <w:rFonts w:asciiTheme="minorEastAsia" w:hAnsiTheme="minorEastAsia"/>
          <w:color w:val="000000"/>
          <w:szCs w:val="24"/>
        </w:rPr>
      </w:pPr>
      <w:r>
        <w:rPr>
          <w:rFonts w:hint="eastAsia" w:asciiTheme="minorEastAsia" w:hAnsiTheme="minorEastAsia"/>
          <w:color w:val="000000"/>
          <w:szCs w:val="24"/>
        </w:rPr>
        <w:t>　　为支持技术和商业模式创新，多国积极拓宽融资机制和渠道，加大对中小企业和初创企业的资金支持，同时加大保护知识产权力度，建立支持中小企业发展的长效机制，促进科技成果转化，激发创新活力。</w:t>
      </w:r>
    </w:p>
    <w:p>
      <w:pPr>
        <w:pStyle w:val="7"/>
        <w:keepNext w:val="0"/>
        <w:keepLines w:val="0"/>
        <w:pageBreakBefore w:val="0"/>
        <w:shd w:val="clear" w:color="auto" w:fill="FFFFFF"/>
        <w:kinsoku/>
        <w:wordWrap/>
        <w:overflowPunct/>
        <w:topLinePunct w:val="0"/>
        <w:autoSpaceDE/>
        <w:autoSpaceDN/>
        <w:bidi w:val="0"/>
        <w:adjustRightInd/>
        <w:snapToGrid/>
        <w:spacing w:beforeAutospacing="0" w:afterAutospacing="0" w:line="420" w:lineRule="exact"/>
        <w:textAlignment w:val="auto"/>
        <w:outlineLvl w:val="9"/>
        <w:rPr>
          <w:rFonts w:asciiTheme="minorEastAsia" w:hAnsiTheme="minorEastAsia"/>
          <w:color w:val="000000"/>
          <w:szCs w:val="24"/>
        </w:rPr>
      </w:pPr>
      <w:r>
        <w:rPr>
          <w:rFonts w:hint="eastAsia" w:asciiTheme="minorEastAsia" w:hAnsiTheme="minorEastAsia"/>
          <w:color w:val="000000"/>
          <w:szCs w:val="24"/>
        </w:rPr>
        <w:t>　　近日，欧盟委员会宣布将通过新的欧洲创新委员会基金进行首次直接股权投资。该基金将向42家创新型初创企业和中小企业投资约1.78亿欧元，以支持医疗保健、循环经济、先进制造业等领域的突破性创新。该基金旨在填补初创企业在技术商业化阶段面临的关键融资缺口。</w:t>
      </w:r>
    </w:p>
    <w:p>
      <w:pPr>
        <w:pStyle w:val="7"/>
        <w:keepNext w:val="0"/>
        <w:keepLines w:val="0"/>
        <w:pageBreakBefore w:val="0"/>
        <w:shd w:val="clear" w:color="auto" w:fill="FFFFFF"/>
        <w:kinsoku/>
        <w:wordWrap/>
        <w:overflowPunct/>
        <w:topLinePunct w:val="0"/>
        <w:autoSpaceDE/>
        <w:autoSpaceDN/>
        <w:bidi w:val="0"/>
        <w:adjustRightInd/>
        <w:snapToGrid/>
        <w:spacing w:beforeAutospacing="0" w:afterAutospacing="0" w:line="420" w:lineRule="exact"/>
        <w:textAlignment w:val="auto"/>
        <w:outlineLvl w:val="9"/>
        <w:rPr>
          <w:rFonts w:asciiTheme="minorEastAsia" w:hAnsiTheme="minorEastAsia"/>
          <w:color w:val="000000"/>
          <w:szCs w:val="24"/>
        </w:rPr>
      </w:pPr>
      <w:r>
        <w:rPr>
          <w:rFonts w:hint="eastAsia" w:asciiTheme="minorEastAsia" w:hAnsiTheme="minorEastAsia"/>
          <w:color w:val="000000"/>
          <w:szCs w:val="24"/>
        </w:rPr>
        <w:t>　　为帮助中小企业保护知识产权，欧盟知识产权局还启动了总额为2000万欧元的中小企业创意助力基金，将为欧洲中小企业制定知识产权战略、申请商标等提供资金支持。</w:t>
      </w:r>
    </w:p>
    <w:p>
      <w:pPr>
        <w:pStyle w:val="7"/>
        <w:keepNext w:val="0"/>
        <w:keepLines w:val="0"/>
        <w:pageBreakBefore w:val="0"/>
        <w:shd w:val="clear" w:color="auto" w:fill="FFFFFF"/>
        <w:kinsoku/>
        <w:wordWrap/>
        <w:overflowPunct/>
        <w:topLinePunct w:val="0"/>
        <w:autoSpaceDE/>
        <w:autoSpaceDN/>
        <w:bidi w:val="0"/>
        <w:adjustRightInd/>
        <w:snapToGrid/>
        <w:spacing w:beforeAutospacing="0" w:afterAutospacing="0" w:line="420" w:lineRule="exact"/>
        <w:textAlignment w:val="auto"/>
        <w:outlineLvl w:val="9"/>
        <w:rPr>
          <w:rFonts w:asciiTheme="minorEastAsia" w:hAnsiTheme="minorEastAsia"/>
          <w:color w:val="000000"/>
          <w:szCs w:val="24"/>
        </w:rPr>
      </w:pPr>
      <w:r>
        <w:rPr>
          <w:rFonts w:hint="eastAsia" w:asciiTheme="minorEastAsia" w:hAnsiTheme="minorEastAsia"/>
          <w:color w:val="000000"/>
          <w:szCs w:val="24"/>
        </w:rPr>
        <w:t>　　以色列则通过以色列创新管理局推出了一项6.5亿新谢克尔（约合2亿美元）的科技行业刺激计划，其中5000万新谢克尔用于支持抗击疫情的科技创新。意大利近期投入1000万欧元，鼓励初创企业使用企业孵化器和加速器。奥地利地方政府通过400万欧元的一揽子计划，方案包括由区域创业咨询和支持委员会为企业提供特别咨询服务，以及延期偿还创业贷款等。</w:t>
      </w:r>
    </w:p>
    <w:p>
      <w:pPr>
        <w:pStyle w:val="7"/>
        <w:keepNext w:val="0"/>
        <w:keepLines w:val="0"/>
        <w:pageBreakBefore w:val="0"/>
        <w:shd w:val="clear" w:color="auto" w:fill="FFFFFF"/>
        <w:kinsoku/>
        <w:wordWrap/>
        <w:overflowPunct/>
        <w:topLinePunct w:val="0"/>
        <w:autoSpaceDE/>
        <w:autoSpaceDN/>
        <w:bidi w:val="0"/>
        <w:adjustRightInd/>
        <w:snapToGrid/>
        <w:spacing w:beforeAutospacing="0" w:afterAutospacing="0" w:line="420" w:lineRule="exact"/>
        <w:textAlignment w:val="auto"/>
        <w:outlineLvl w:val="9"/>
        <w:rPr>
          <w:rFonts w:asciiTheme="minorEastAsia" w:hAnsiTheme="minorEastAsia"/>
          <w:color w:val="000000"/>
          <w:szCs w:val="24"/>
        </w:rPr>
      </w:pPr>
      <w:r>
        <w:rPr>
          <w:rFonts w:hint="eastAsia" w:asciiTheme="minorEastAsia" w:hAnsiTheme="minorEastAsia"/>
          <w:color w:val="000000"/>
          <w:szCs w:val="24"/>
        </w:rPr>
        <w:t>　　英国华威大学商学院企业研究中心主任斯蒂芬·罗珀指出，有证据表明，中小企业显著受益于研发和创新投资，能够维持创新活动的企业将在疫情后复苏中获得明显优势。</w:t>
      </w:r>
    </w:p>
    <w:p>
      <w:pPr>
        <w:keepNext w:val="0"/>
        <w:keepLines w:val="0"/>
        <w:pageBreakBefore w:val="0"/>
        <w:kinsoku/>
        <w:wordWrap/>
        <w:overflowPunct/>
        <w:topLinePunct w:val="0"/>
        <w:autoSpaceDE/>
        <w:autoSpaceDN/>
        <w:bidi w:val="0"/>
        <w:adjustRightInd/>
        <w:snapToGrid/>
        <w:spacing w:line="420" w:lineRule="exact"/>
        <w:ind w:firstLine="465"/>
        <w:jc w:val="left"/>
        <w:textAlignment w:val="auto"/>
        <w:outlineLvl w:val="9"/>
        <w:rPr>
          <w:rFonts w:asciiTheme="minorEastAsia" w:hAnsiTheme="minorEastAsia"/>
          <w:sz w:val="24"/>
          <w:szCs w:val="24"/>
        </w:rPr>
      </w:pPr>
      <w:r>
        <w:rPr>
          <w:rFonts w:hint="eastAsia" w:asciiTheme="minorEastAsia" w:hAnsiTheme="minorEastAsia"/>
          <w:color w:val="000000"/>
          <w:sz w:val="24"/>
          <w:szCs w:val="24"/>
        </w:rPr>
        <w:t>美国布鲁金斯学会全球经济与发展项目客座研究员齐亚·库雷希建议，应在中小企业和更广泛的人群中传播新技术、提供生产机会，恢复研发公共投资，将更多资源用于小微企业和初创企业的早期激励。推动企业广泛参与创新经济，建立与新技术相适应的劳动力群体，将带来更强劲、更包容的经济增长。（人民网</w:t>
      </w:r>
      <w:r>
        <w:rPr>
          <w:rFonts w:hint="eastAsia" w:asciiTheme="minorEastAsia" w:hAnsiTheme="minorEastAsia"/>
          <w:color w:val="000000"/>
          <w:sz w:val="24"/>
          <w:szCs w:val="24"/>
          <w:lang w:val="en-US" w:eastAsia="zh-CN"/>
        </w:rPr>
        <w:t>0</w:t>
      </w:r>
      <w:r>
        <w:rPr>
          <w:rFonts w:hint="eastAsia" w:asciiTheme="minorEastAsia" w:hAnsiTheme="minorEastAsia"/>
          <w:color w:val="000000"/>
          <w:sz w:val="24"/>
          <w:szCs w:val="24"/>
        </w:rPr>
        <w:t>1-19）</w:t>
      </w:r>
    </w:p>
    <w:p>
      <w:pPr>
        <w:keepNext w:val="0"/>
        <w:keepLines w:val="0"/>
        <w:pageBreakBefore w:val="0"/>
        <w:kinsoku/>
        <w:wordWrap/>
        <w:overflowPunct/>
        <w:topLinePunct w:val="0"/>
        <w:autoSpaceDE/>
        <w:autoSpaceDN/>
        <w:bidi w:val="0"/>
        <w:adjustRightInd/>
        <w:snapToGrid/>
        <w:spacing w:line="420" w:lineRule="exact"/>
        <w:jc w:val="left"/>
        <w:textAlignment w:val="auto"/>
        <w:outlineLvl w:val="9"/>
        <w:rPr>
          <w:rFonts w:ascii="华文彩云" w:hAnsi="宋体" w:eastAsia="华文彩云"/>
          <w:sz w:val="36"/>
          <w:szCs w:val="36"/>
        </w:rPr>
        <w:sectPr>
          <w:type w:val="continuous"/>
          <w:pgSz w:w="11906" w:h="16838"/>
          <w:pgMar w:top="1440" w:right="1800" w:bottom="1440" w:left="1800" w:header="851" w:footer="992" w:gutter="0"/>
          <w:cols w:space="425" w:num="2"/>
          <w:docGrid w:type="lines" w:linePitch="312" w:charSpace="0"/>
        </w:sectPr>
      </w:pPr>
    </w:p>
    <w:p>
      <w:pPr>
        <w:spacing w:line="440" w:lineRule="exact"/>
        <w:jc w:val="left"/>
        <w:rPr>
          <w:rFonts w:ascii="华文彩云" w:hAnsi="宋体" w:eastAsia="华文彩云"/>
          <w:sz w:val="36"/>
          <w:szCs w:val="36"/>
        </w:rPr>
      </w:pPr>
    </w:p>
    <w:p>
      <w:pPr>
        <w:spacing w:line="440" w:lineRule="exact"/>
        <w:jc w:val="left"/>
        <w:rPr>
          <w:rFonts w:ascii="华文彩云" w:hAnsi="宋体" w:eastAsia="华文彩云"/>
          <w:sz w:val="36"/>
          <w:szCs w:val="36"/>
        </w:rPr>
      </w:pPr>
    </w:p>
    <w:p>
      <w:pPr>
        <w:spacing w:line="440" w:lineRule="exact"/>
        <w:jc w:val="left"/>
        <w:rPr>
          <w:rFonts w:ascii="华文彩云" w:hAnsi="宋体" w:eastAsia="华文彩云"/>
          <w:sz w:val="36"/>
          <w:szCs w:val="36"/>
        </w:rPr>
      </w:pPr>
    </w:p>
    <w:p>
      <w:pPr>
        <w:spacing w:line="440" w:lineRule="exact"/>
        <w:jc w:val="left"/>
        <w:rPr>
          <w:rFonts w:ascii="华文彩云" w:hAnsi="宋体" w:eastAsia="华文彩云"/>
          <w:sz w:val="36"/>
          <w:szCs w:val="36"/>
        </w:rPr>
      </w:pPr>
    </w:p>
    <w:p>
      <w:pPr>
        <w:spacing w:line="440" w:lineRule="exact"/>
        <w:jc w:val="left"/>
        <w:rPr>
          <w:rFonts w:ascii="华文彩云" w:hAnsi="宋体" w:eastAsia="华文彩云"/>
          <w:sz w:val="36"/>
          <w:szCs w:val="36"/>
        </w:rPr>
      </w:pPr>
    </w:p>
    <w:p>
      <w:pPr>
        <w:spacing w:line="440" w:lineRule="exact"/>
        <w:jc w:val="left"/>
        <w:rPr>
          <w:rFonts w:ascii="华文彩云" w:eastAsia="华文彩云"/>
          <w:b/>
          <w:sz w:val="36"/>
          <w:szCs w:val="36"/>
        </w:rPr>
        <w:sectPr>
          <w:type w:val="continuous"/>
          <w:pgSz w:w="11906" w:h="16838"/>
          <w:pgMar w:top="1440" w:right="1800" w:bottom="1440" w:left="1800" w:header="851" w:footer="992" w:gutter="0"/>
          <w:cols w:space="425" w:num="1"/>
          <w:docGrid w:type="lines" w:linePitch="312" w:charSpace="0"/>
        </w:sectPr>
      </w:pPr>
      <w:r>
        <w:rPr>
          <w:rFonts w:hint="eastAsia" w:ascii="华文彩云" w:hAnsi="宋体" w:eastAsia="华文彩云"/>
          <w:sz w:val="36"/>
          <w:szCs w:val="36"/>
        </w:rPr>
        <w:t>◎</w:t>
      </w:r>
      <w:r>
        <w:rPr>
          <w:rFonts w:hint="eastAsia" w:ascii="华文彩云" w:eastAsia="华文彩云"/>
          <w:b/>
          <w:sz w:val="36"/>
          <w:szCs w:val="36"/>
        </w:rPr>
        <w:t>经贸论坛</w:t>
      </w:r>
    </w:p>
    <w:p>
      <w:pPr>
        <w:spacing w:line="360" w:lineRule="auto"/>
        <w:jc w:val="left"/>
        <w:rPr>
          <w:rFonts w:cs="Times New Roman" w:asciiTheme="minorEastAsia" w:hAnsiTheme="minorEastAsia"/>
          <w:sz w:val="24"/>
          <w:szCs w:val="24"/>
        </w:rPr>
      </w:pPr>
    </w:p>
    <w:p>
      <w:pPr>
        <w:spacing w:line="440" w:lineRule="exact"/>
        <w:ind w:firstLine="720" w:firstLineChars="200"/>
        <w:jc w:val="center"/>
        <w:rPr>
          <w:rFonts w:hint="eastAsia" w:ascii="楷体_GB2312" w:eastAsia="楷体_GB2312" w:hAnsiTheme="minorEastAsia"/>
          <w:sz w:val="36"/>
          <w:szCs w:val="36"/>
        </w:rPr>
      </w:pPr>
    </w:p>
    <w:p>
      <w:pPr>
        <w:spacing w:line="440" w:lineRule="exact"/>
        <w:ind w:firstLine="723" w:firstLineChars="200"/>
        <w:jc w:val="center"/>
        <w:rPr>
          <w:rFonts w:ascii="楷体_GB2312" w:eastAsia="楷体_GB2312" w:hAnsiTheme="minorEastAsia"/>
          <w:b/>
          <w:bCs/>
          <w:sz w:val="36"/>
          <w:szCs w:val="36"/>
        </w:rPr>
      </w:pPr>
      <w:r>
        <w:rPr>
          <w:rFonts w:hint="eastAsia" w:ascii="楷体_GB2312" w:eastAsia="楷体_GB2312" w:hAnsiTheme="minorEastAsia"/>
          <w:b/>
          <w:bCs/>
          <w:sz w:val="36"/>
          <w:szCs w:val="36"/>
        </w:rPr>
        <w:t>RCEP签署后 中日韩自贸区还有多远</w:t>
      </w:r>
    </w:p>
    <w:p>
      <w:pPr>
        <w:spacing w:line="360" w:lineRule="auto"/>
        <w:jc w:val="left"/>
        <w:rPr>
          <w:rFonts w:cs="Times New Roman" w:asciiTheme="minorEastAsia" w:hAnsiTheme="minorEastAsia"/>
          <w:sz w:val="24"/>
          <w:szCs w:val="24"/>
        </w:rPr>
      </w:pPr>
    </w:p>
    <w:p>
      <w:pPr>
        <w:spacing w:line="440" w:lineRule="exact"/>
        <w:ind w:firstLine="480" w:firstLineChars="200"/>
        <w:rPr>
          <w:rFonts w:asciiTheme="minorEastAsia" w:hAnsiTheme="minorEastAsia"/>
          <w:sz w:val="24"/>
          <w:szCs w:val="24"/>
        </w:rPr>
        <w:sectPr>
          <w:type w:val="continuous"/>
          <w:pgSz w:w="11906" w:h="16838"/>
          <w:pgMar w:top="1440" w:right="1800" w:bottom="1440" w:left="1800" w:header="851" w:footer="992" w:gutter="0"/>
          <w:cols w:space="425" w:num="1"/>
          <w:docGrid w:type="lines" w:linePitch="312" w:charSpace="0"/>
        </w:sectPr>
      </w:pPr>
    </w:p>
    <w:p>
      <w:pPr>
        <w:spacing w:line="440" w:lineRule="exact"/>
        <w:ind w:firstLine="480" w:firstLineChars="200"/>
        <w:rPr>
          <w:rFonts w:asciiTheme="minorEastAsia" w:hAnsiTheme="minorEastAsia"/>
          <w:sz w:val="24"/>
          <w:szCs w:val="24"/>
        </w:rPr>
      </w:pPr>
      <w:r>
        <w:rPr>
          <w:rFonts w:hint="eastAsia" w:asciiTheme="minorEastAsia" w:hAnsiTheme="minorEastAsia"/>
          <w:sz w:val="24"/>
          <w:szCs w:val="24"/>
        </w:rPr>
        <w:t>RCEP协议签署后，中日韩自贸协定谈判值得期待。尽管应对全球疫情面临挑战，以及一阵阵全球化逆流，但仍可展望一下中日韩自贸协定。该自贸协定如能达成，将成为推动亚太经济一体化和促进世界经济复苏的新引擎。中日韩自贸协定的达成具有四大重要基础。</w:t>
      </w:r>
    </w:p>
    <w:p>
      <w:pPr>
        <w:spacing w:line="440" w:lineRule="exact"/>
        <w:ind w:firstLine="480" w:firstLineChars="200"/>
        <w:rPr>
          <w:rFonts w:asciiTheme="minorEastAsia" w:hAnsiTheme="minorEastAsia"/>
          <w:sz w:val="24"/>
          <w:szCs w:val="24"/>
        </w:rPr>
      </w:pPr>
      <w:r>
        <w:rPr>
          <w:rFonts w:hint="eastAsia" w:asciiTheme="minorEastAsia" w:hAnsiTheme="minorEastAsia"/>
          <w:sz w:val="24"/>
          <w:szCs w:val="24"/>
        </w:rPr>
        <w:t>一是中日韩具备经济贸易合作基础。中日韩同为RCEP成员国，这为中日韩自贸协定的达成奠定重要基础。中日韩经济与产业互补性强，三国之间的贸易额从1999年的1320亿美元提高到2019年达到6220亿美元，20年间大幅提高了370%。中日韩经济总量不仅占亚洲经济总量的70%，而且占世界经济的20%，今年中日韩三国有望全部跻身世界前十大经济体之列，而且中日韩域内贸易只有23%，不仅低于欧盟的65%，也低于北美自贸区的40%，因此中日韩之间的贸易还有很大的发展潜力，自贸区的达成将使得贸易创造和贸易转移效应更为显著。</w:t>
      </w:r>
    </w:p>
    <w:p>
      <w:pPr>
        <w:spacing w:line="440" w:lineRule="exact"/>
        <w:ind w:firstLine="480" w:firstLineChars="200"/>
        <w:rPr>
          <w:rFonts w:asciiTheme="minorEastAsia" w:hAnsiTheme="minorEastAsia"/>
          <w:sz w:val="24"/>
          <w:szCs w:val="24"/>
        </w:rPr>
      </w:pPr>
      <w:r>
        <w:rPr>
          <w:rFonts w:hint="eastAsia" w:asciiTheme="minorEastAsia" w:hAnsiTheme="minorEastAsia"/>
          <w:sz w:val="24"/>
          <w:szCs w:val="24"/>
        </w:rPr>
        <w:t>二是疫情冲击加速中日韩供应链和产业链的整合。疫情冲击着全球产业链和供应链，密切了毗邻的中日韩供应链。在率先控制住疫情之后，中国加强了对日本和韩国的快速通道、绿色通道的开放，使中日韩产业链和供应链得以保持稳定、开放与高效。在全球收缩产业链和供应链的当下，中日韩之间天然的区位优势和互补的产业与经济优势，加速了中日韩三国间的产业链和供应链整合力度。从中日产业链看，日本给我国提供多种中间产品，如基本金属制品占98.2%，化学制品占96.9%，纺织服装皮革制品占88%。中国处于全球产业链、供应链的中间位置。作为全球制造业大国，中国为全球超过500万家企业提供从手机到汽车等各种产品，不仅如此，中国还处于发达国家与发展中国家双循环的重要节点位置。</w:t>
      </w:r>
    </w:p>
    <w:p>
      <w:pPr>
        <w:spacing w:line="440" w:lineRule="exact"/>
        <w:ind w:firstLine="480" w:firstLineChars="200"/>
        <w:rPr>
          <w:rFonts w:asciiTheme="minorEastAsia" w:hAnsiTheme="minorEastAsia"/>
          <w:sz w:val="24"/>
          <w:szCs w:val="24"/>
        </w:rPr>
      </w:pPr>
      <w:r>
        <w:rPr>
          <w:rFonts w:hint="eastAsia" w:asciiTheme="minorEastAsia" w:hAnsiTheme="minorEastAsia"/>
          <w:sz w:val="24"/>
          <w:szCs w:val="24"/>
        </w:rPr>
        <w:t>从产业链看，中日韩在全球半导体产业链保持良好的上中下游链接互动，主要表现在日本主要生产上游的原材料，而韩国则生产中游的芯片等产品，最后由中国来生产下游最终产品并交付使用。此外，中日韩在电子等多产业链的上中下游也关联密切，供应链环环相扣缺一不可。伴随中日韩疫情纷纷得到控制，复工复产复业加速，减低了疫情对产业链和供应链的影响，强化了中日韩在全球的产业链和供应链合作与韧性。面对疫情，中日韩自贸协定的达成有助于推进中日韩区域经济合作，进而稳固全球产业链供应链，促进世界经济复苏。</w:t>
      </w:r>
    </w:p>
    <w:p>
      <w:pPr>
        <w:spacing w:line="440" w:lineRule="exact"/>
        <w:ind w:firstLine="480" w:firstLineChars="200"/>
        <w:rPr>
          <w:rFonts w:asciiTheme="minorEastAsia" w:hAnsiTheme="minorEastAsia"/>
          <w:sz w:val="24"/>
          <w:szCs w:val="24"/>
        </w:rPr>
      </w:pPr>
      <w:r>
        <w:rPr>
          <w:rFonts w:hint="eastAsia" w:asciiTheme="minorEastAsia" w:hAnsiTheme="minorEastAsia"/>
          <w:sz w:val="24"/>
          <w:szCs w:val="24"/>
        </w:rPr>
        <w:t>三是中日韩具备数字经济发展的优势。创新驱动发展战略已成为中国经济发展战略，日本和韩国也都在数字经济领域快速发展，中国不仅具有全球最多的网民数量，而且中日韩在数字经济领域各有所长，在数字经济时代，无接触消费的当下中日韩之间数字经济、数字贸易的发展推动中日韩经济高质量发展。</w:t>
      </w:r>
    </w:p>
    <w:p>
      <w:pPr>
        <w:spacing w:line="440" w:lineRule="exact"/>
        <w:ind w:firstLine="480" w:firstLineChars="200"/>
        <w:rPr>
          <w:rFonts w:asciiTheme="minorEastAsia" w:hAnsiTheme="minorEastAsia"/>
          <w:sz w:val="24"/>
          <w:szCs w:val="24"/>
        </w:rPr>
      </w:pPr>
      <w:r>
        <w:rPr>
          <w:rFonts w:hint="eastAsia" w:asciiTheme="minorEastAsia" w:hAnsiTheme="minorEastAsia"/>
          <w:sz w:val="24"/>
          <w:szCs w:val="24"/>
        </w:rPr>
        <w:t>四是中日韩的互联互通合作优势。作为古代丝绸之路重要节点，中日韩经济贸易合作密切。在“一带一路”倡议框架下进行高质量合作，不仅有助于密切中日韩的第三方市场合作，更能务实加强互联互通合作，不仅是硬件合作而且是软件合作。不仅推动中日韩之间货物、资金的自由流动，而且有助于推进包括人员往来在内的密切合作，促进中日韩自贸协定的达成。</w:t>
      </w:r>
    </w:p>
    <w:p>
      <w:pPr>
        <w:spacing w:line="440" w:lineRule="exact"/>
        <w:ind w:firstLine="480" w:firstLineChars="200"/>
        <w:rPr>
          <w:rFonts w:asciiTheme="minorEastAsia" w:hAnsiTheme="minorEastAsia"/>
          <w:sz w:val="24"/>
          <w:szCs w:val="24"/>
        </w:rPr>
      </w:pPr>
      <w:r>
        <w:rPr>
          <w:rFonts w:hint="eastAsia" w:asciiTheme="minorEastAsia" w:hAnsiTheme="minorEastAsia"/>
          <w:sz w:val="24"/>
          <w:szCs w:val="24"/>
        </w:rPr>
        <w:t>中日韩应该立足于本国经济利益，加强彼此互信与经济合作，避免受到逆全球化的干扰，不仅要加强中日韩三国之间的域内合作，而且要在世界贸易组织等多边组织和机构中密切合作，尽快促成中日韩自贸协定的达成。这不仅有助于降低中日韩之间的交易成本，增进中日韩域内贸易和经济增长，推动东亚经济一体化，而且有助于推进亚太经济复苏与增长，也有助于恢复世界贸易秩序，使中日韩成为世界经济增长的稳定器与发动机。</w:t>
      </w:r>
    </w:p>
    <w:p>
      <w:pPr>
        <w:spacing w:line="440" w:lineRule="exact"/>
        <w:rPr>
          <w:rFonts w:asciiTheme="minorEastAsia" w:hAnsiTheme="minorEastAsia"/>
          <w:sz w:val="24"/>
          <w:szCs w:val="24"/>
        </w:rPr>
      </w:pPr>
      <w:r>
        <w:rPr>
          <w:rFonts w:hint="eastAsia" w:asciiTheme="minorEastAsia" w:hAnsiTheme="minorEastAsia"/>
          <w:sz w:val="24"/>
          <w:szCs w:val="24"/>
        </w:rPr>
        <w:t xml:space="preserve">（21世纪经济报道 </w:t>
      </w:r>
      <w:r>
        <w:rPr>
          <w:rFonts w:asciiTheme="minorEastAsia" w:hAnsiTheme="minorEastAsia"/>
          <w:sz w:val="24"/>
          <w:szCs w:val="24"/>
        </w:rPr>
        <w:t>12-30</w:t>
      </w:r>
      <w:r>
        <w:rPr>
          <w:rFonts w:hint="eastAsia" w:asciiTheme="minorEastAsia" w:hAnsiTheme="minorEastAsia"/>
          <w:sz w:val="24"/>
          <w:szCs w:val="24"/>
        </w:rPr>
        <w:t>）</w:t>
      </w:r>
    </w:p>
    <w:p>
      <w:pPr>
        <w:spacing w:line="440" w:lineRule="exact"/>
        <w:rPr>
          <w:rFonts w:asciiTheme="minorEastAsia" w:hAnsiTheme="minorEastAsia"/>
          <w:sz w:val="24"/>
          <w:szCs w:val="24"/>
        </w:rPr>
      </w:pPr>
    </w:p>
    <w:p>
      <w:pPr>
        <w:spacing w:line="360" w:lineRule="auto"/>
        <w:jc w:val="left"/>
        <w:rPr>
          <w:rFonts w:cs="Times New Roman" w:asciiTheme="minorEastAsia" w:hAnsiTheme="minorEastAsia"/>
          <w:sz w:val="24"/>
          <w:szCs w:val="24"/>
        </w:rPr>
        <w:sectPr>
          <w:type w:val="continuous"/>
          <w:pgSz w:w="11906" w:h="16838"/>
          <w:pgMar w:top="1440" w:right="1800" w:bottom="1440" w:left="1800" w:header="851" w:footer="992" w:gutter="0"/>
          <w:cols w:space="425" w:num="2"/>
          <w:docGrid w:type="lines" w:linePitch="312" w:charSpace="0"/>
        </w:sectPr>
      </w:pPr>
    </w:p>
    <w:p>
      <w:pPr>
        <w:spacing w:line="360" w:lineRule="auto"/>
        <w:jc w:val="left"/>
        <w:rPr>
          <w:rFonts w:cs="Times New Roman" w:asciiTheme="minorEastAsia" w:hAnsiTheme="minorEastAsia"/>
          <w:sz w:val="24"/>
          <w:szCs w:val="24"/>
        </w:rPr>
      </w:pPr>
    </w:p>
    <w:p>
      <w:pPr>
        <w:spacing w:line="360" w:lineRule="auto"/>
        <w:jc w:val="left"/>
        <w:rPr>
          <w:rFonts w:cs="Times New Roman" w:asciiTheme="minorEastAsia" w:hAnsiTheme="minorEastAsia"/>
          <w:sz w:val="24"/>
          <w:szCs w:val="24"/>
        </w:rPr>
        <w:sectPr>
          <w:type w:val="continuous"/>
          <w:pgSz w:w="11906" w:h="16838"/>
          <w:pgMar w:top="1440" w:right="1800" w:bottom="1440" w:left="1800" w:header="851" w:footer="992" w:gutter="0"/>
          <w:cols w:space="425" w:num="2"/>
          <w:docGrid w:type="lines" w:linePitch="312" w:charSpace="0"/>
        </w:sectPr>
      </w:pPr>
    </w:p>
    <w:p>
      <w:pPr>
        <w:spacing w:line="360" w:lineRule="auto"/>
        <w:jc w:val="left"/>
        <w:rPr>
          <w:rFonts w:cs="Times New Roman" w:asciiTheme="minorEastAsia" w:hAnsiTheme="minorEastAsia"/>
          <w:sz w:val="24"/>
          <w:szCs w:val="24"/>
        </w:rPr>
      </w:pPr>
    </w:p>
    <w:p>
      <w:pPr>
        <w:spacing w:line="360" w:lineRule="auto"/>
        <w:jc w:val="left"/>
        <w:rPr>
          <w:rFonts w:cs="Times New Roman" w:asciiTheme="minorEastAsia" w:hAnsiTheme="minorEastAsia"/>
          <w:sz w:val="24"/>
          <w:szCs w:val="24"/>
        </w:rPr>
      </w:pPr>
    </w:p>
    <w:p>
      <w:pPr>
        <w:spacing w:line="360" w:lineRule="auto"/>
        <w:jc w:val="left"/>
        <w:rPr>
          <w:rFonts w:cs="Times New Roman" w:asciiTheme="minorEastAsia" w:hAnsiTheme="minorEastAsia"/>
          <w:sz w:val="24"/>
          <w:szCs w:val="24"/>
        </w:rPr>
      </w:pPr>
    </w:p>
    <w:p>
      <w:pPr>
        <w:spacing w:line="360" w:lineRule="auto"/>
        <w:jc w:val="left"/>
        <w:rPr>
          <w:rFonts w:cs="Times New Roman" w:asciiTheme="minorEastAsia" w:hAnsiTheme="minorEastAsia"/>
          <w:sz w:val="24"/>
          <w:szCs w:val="24"/>
        </w:rPr>
      </w:pPr>
    </w:p>
    <w:p>
      <w:pPr>
        <w:spacing w:line="360" w:lineRule="auto"/>
        <w:jc w:val="left"/>
        <w:rPr>
          <w:rFonts w:cs="Times New Roman" w:asciiTheme="minorEastAsia" w:hAnsiTheme="minorEastAsia"/>
          <w:sz w:val="24"/>
          <w:szCs w:val="24"/>
        </w:rPr>
      </w:pPr>
    </w:p>
    <w:p>
      <w:pPr>
        <w:spacing w:line="360" w:lineRule="auto"/>
        <w:jc w:val="left"/>
        <w:rPr>
          <w:rFonts w:cs="Times New Roman" w:asciiTheme="minorEastAsia" w:hAnsiTheme="minorEastAsia"/>
          <w:sz w:val="24"/>
          <w:szCs w:val="24"/>
        </w:rPr>
      </w:pPr>
    </w:p>
    <w:p>
      <w:pPr>
        <w:spacing w:line="360" w:lineRule="auto"/>
        <w:jc w:val="left"/>
        <w:rPr>
          <w:rFonts w:cs="Times New Roman" w:asciiTheme="minorEastAsia" w:hAnsiTheme="minorEastAsia"/>
          <w:sz w:val="24"/>
          <w:szCs w:val="24"/>
        </w:rPr>
      </w:pPr>
    </w:p>
    <w:p>
      <w:pPr>
        <w:spacing w:line="360" w:lineRule="auto"/>
        <w:jc w:val="left"/>
        <w:rPr>
          <w:rFonts w:cs="Times New Roman" w:asciiTheme="minorEastAsia" w:hAnsiTheme="minorEastAsia"/>
          <w:sz w:val="24"/>
          <w:szCs w:val="24"/>
        </w:rPr>
      </w:pPr>
    </w:p>
    <w:p>
      <w:pPr>
        <w:spacing w:line="360" w:lineRule="auto"/>
        <w:jc w:val="left"/>
        <w:rPr>
          <w:rFonts w:cs="Times New Roman" w:asciiTheme="minorEastAsia" w:hAnsiTheme="minorEastAsia"/>
          <w:sz w:val="24"/>
          <w:szCs w:val="24"/>
        </w:rPr>
      </w:pPr>
    </w:p>
    <w:p>
      <w:pPr>
        <w:spacing w:line="440" w:lineRule="exact"/>
        <w:jc w:val="left"/>
        <w:rPr>
          <w:rFonts w:ascii="华文彩云" w:hAnsi="Times New Roman" w:eastAsia="华文彩云" w:cs="Times New Roman"/>
          <w:sz w:val="36"/>
          <w:szCs w:val="36"/>
        </w:rPr>
      </w:pPr>
    </w:p>
    <w:p>
      <w:pPr>
        <w:spacing w:line="440" w:lineRule="exact"/>
        <w:jc w:val="left"/>
        <w:rPr>
          <w:rFonts w:ascii="华文彩云" w:eastAsia="华文彩云"/>
          <w:sz w:val="36"/>
          <w:szCs w:val="36"/>
        </w:rPr>
      </w:pPr>
      <w:r>
        <w:rPr>
          <w:rFonts w:hint="eastAsia" w:ascii="华文彩云" w:hAnsi="宋体" w:eastAsia="华文彩云"/>
          <w:sz w:val="36"/>
          <w:szCs w:val="36"/>
        </w:rPr>
        <w:t>◎</w:t>
      </w:r>
      <w:r>
        <w:rPr>
          <w:rFonts w:hint="eastAsia" w:ascii="华文彩云" w:eastAsia="华文彩云"/>
          <w:b/>
          <w:sz w:val="36"/>
          <w:szCs w:val="36"/>
        </w:rPr>
        <w:t>预警信息</w:t>
      </w:r>
    </w:p>
    <w:p>
      <w:pPr>
        <w:spacing w:line="440" w:lineRule="exact"/>
        <w:jc w:val="center"/>
        <w:rPr>
          <w:rFonts w:ascii="黑体" w:eastAsia="黑体" w:cs="Times New Roman" w:hAnsiTheme="minorEastAsia"/>
          <w:sz w:val="32"/>
          <w:szCs w:val="32"/>
        </w:rPr>
      </w:pPr>
    </w:p>
    <w:p>
      <w:pPr>
        <w:spacing w:line="440" w:lineRule="exact"/>
        <w:jc w:val="center"/>
        <w:rPr>
          <w:rFonts w:hint="eastAsia" w:ascii="楷体_GB2312" w:hAnsi="宋体" w:eastAsia="楷体_GB2312" w:cs="宋体"/>
          <w:b/>
          <w:kern w:val="0"/>
          <w:sz w:val="36"/>
          <w:szCs w:val="36"/>
        </w:rPr>
      </w:pPr>
    </w:p>
    <w:p>
      <w:pPr>
        <w:spacing w:line="440" w:lineRule="exact"/>
        <w:jc w:val="center"/>
        <w:rPr>
          <w:rFonts w:hint="eastAsia" w:ascii="楷体_GB2312" w:hAnsi="宋体" w:eastAsia="楷体_GB2312" w:cs="宋体"/>
          <w:b/>
          <w:kern w:val="0"/>
          <w:sz w:val="36"/>
          <w:szCs w:val="36"/>
        </w:rPr>
      </w:pPr>
    </w:p>
    <w:p>
      <w:pPr>
        <w:spacing w:line="440" w:lineRule="exact"/>
        <w:jc w:val="center"/>
        <w:rPr>
          <w:rFonts w:ascii="楷体_GB2312" w:hAnsi="宋体" w:eastAsia="楷体_GB2312" w:cs="宋体"/>
          <w:b/>
          <w:kern w:val="0"/>
          <w:sz w:val="36"/>
          <w:szCs w:val="36"/>
        </w:rPr>
      </w:pPr>
      <w:r>
        <w:rPr>
          <w:rFonts w:hint="eastAsia" w:ascii="楷体_GB2312" w:hAnsi="宋体" w:eastAsia="楷体_GB2312" w:cs="宋体"/>
          <w:b/>
          <w:kern w:val="0"/>
          <w:sz w:val="36"/>
          <w:szCs w:val="36"/>
        </w:rPr>
        <w:t>半导体激荡：全球产业链重构 国产替代加速</w:t>
      </w:r>
    </w:p>
    <w:p>
      <w:pPr>
        <w:spacing w:line="440" w:lineRule="exact"/>
        <w:jc w:val="center"/>
        <w:rPr>
          <w:rFonts w:ascii="黑体" w:eastAsia="黑体" w:cs="Times New Roman" w:hAnsiTheme="minorEastAsia"/>
          <w:sz w:val="32"/>
          <w:szCs w:val="32"/>
        </w:rPr>
        <w:sectPr>
          <w:type w:val="continuous"/>
          <w:pgSz w:w="11906" w:h="16838"/>
          <w:pgMar w:top="1440" w:right="1800" w:bottom="1440" w:left="1800" w:header="851" w:footer="992" w:gutter="0"/>
          <w:cols w:space="425" w:num="1"/>
          <w:docGrid w:type="lines" w:linePitch="312" w:charSpace="0"/>
        </w:sectPr>
      </w:pPr>
      <w:r>
        <w:rPr>
          <w:rFonts w:hint="eastAsia" w:cs="Times New Roman" w:asciiTheme="minorEastAsia" w:hAnsiTheme="minorEastAsia"/>
          <w:sz w:val="24"/>
          <w:szCs w:val="24"/>
        </w:rPr>
        <w:t xml:space="preserve">   </w:t>
      </w:r>
    </w:p>
    <w:p>
      <w:pPr>
        <w:keepNext w:val="0"/>
        <w:keepLines w:val="0"/>
        <w:pageBreakBefore w:val="0"/>
        <w:widowControl/>
        <w:kinsoku/>
        <w:wordWrap/>
        <w:overflowPunct/>
        <w:topLinePunct w:val="0"/>
        <w:autoSpaceDE/>
        <w:autoSpaceDN/>
        <w:bidi w:val="0"/>
        <w:adjustRightInd/>
        <w:snapToGrid/>
        <w:spacing w:line="420" w:lineRule="exact"/>
        <w:ind w:firstLine="480" w:firstLineChars="200"/>
        <w:textAlignment w:val="auto"/>
        <w:rPr>
          <w:rFonts w:cs="Arial" w:asciiTheme="minorEastAsia" w:hAnsiTheme="minorEastAsia"/>
          <w:color w:val="000000"/>
          <w:kern w:val="0"/>
          <w:sz w:val="24"/>
          <w:szCs w:val="24"/>
        </w:rPr>
      </w:pPr>
      <w:r>
        <w:rPr>
          <w:rFonts w:cs="Arial" w:asciiTheme="minorEastAsia" w:hAnsiTheme="minorEastAsia"/>
          <w:color w:val="000000"/>
          <w:kern w:val="0"/>
          <w:sz w:val="24"/>
          <w:szCs w:val="24"/>
        </w:rPr>
        <w:t>2020年半导体世界风起云涌，突然的疫情打乱了产业回暖的预期，政治因素介入的中美科技摩擦愈演愈烈。在动荡的环境下，半导体巨头开启了并购大幕，随之而来的是芯片架构ARM崛起、第三代半导体材料兴起、IoT需求急剧上升……新格局的集结号正在吹响，全球产业链正在重构，2021年，产业将继续激荡。</w:t>
      </w:r>
    </w:p>
    <w:p>
      <w:pPr>
        <w:keepNext w:val="0"/>
        <w:keepLines w:val="0"/>
        <w:pageBreakBefore w:val="0"/>
        <w:widowControl/>
        <w:kinsoku/>
        <w:wordWrap/>
        <w:overflowPunct/>
        <w:topLinePunct w:val="0"/>
        <w:autoSpaceDE/>
        <w:autoSpaceDN/>
        <w:bidi w:val="0"/>
        <w:adjustRightInd/>
        <w:snapToGrid/>
        <w:spacing w:line="420" w:lineRule="exact"/>
        <w:ind w:firstLine="480" w:firstLineChars="200"/>
        <w:textAlignment w:val="auto"/>
        <w:rPr>
          <w:rFonts w:cs="Arial" w:asciiTheme="minorEastAsia" w:hAnsiTheme="minorEastAsia"/>
          <w:color w:val="000000"/>
          <w:kern w:val="0"/>
          <w:sz w:val="24"/>
          <w:szCs w:val="24"/>
        </w:rPr>
      </w:pPr>
      <w:r>
        <w:rPr>
          <w:rFonts w:cs="Arial" w:asciiTheme="minorEastAsia" w:hAnsiTheme="minorEastAsia"/>
          <w:color w:val="000000"/>
          <w:kern w:val="0"/>
          <w:sz w:val="24"/>
          <w:szCs w:val="24"/>
        </w:rPr>
        <w:t>全球纷争的局面之下，中国对于半导体、集成电路的关注度和支持度更上一层楼，国产替代已经势在必行，但是替代并非一朝一夕之功，我们要面对的是10年、20年、30年甚至更久的长跑；另一厢，欧洲也在加大投入，近期媒体报道称，德国、法国、西班牙等其他13个欧盟国家，已经联手投资处理器和半导体技术，以赶超美国和亚洲，预计将投入1450亿欧元。</w:t>
      </w:r>
    </w:p>
    <w:p>
      <w:pPr>
        <w:keepNext w:val="0"/>
        <w:keepLines w:val="0"/>
        <w:pageBreakBefore w:val="0"/>
        <w:widowControl/>
        <w:kinsoku/>
        <w:wordWrap/>
        <w:overflowPunct/>
        <w:topLinePunct w:val="0"/>
        <w:autoSpaceDE/>
        <w:autoSpaceDN/>
        <w:bidi w:val="0"/>
        <w:adjustRightInd/>
        <w:snapToGrid/>
        <w:spacing w:line="420" w:lineRule="exact"/>
        <w:ind w:firstLine="480" w:firstLineChars="200"/>
        <w:textAlignment w:val="auto"/>
        <w:rPr>
          <w:rFonts w:cs="Arial" w:asciiTheme="minorEastAsia" w:hAnsiTheme="minorEastAsia"/>
          <w:color w:val="000000"/>
          <w:kern w:val="0"/>
          <w:sz w:val="24"/>
          <w:szCs w:val="24"/>
        </w:rPr>
      </w:pPr>
      <w:r>
        <w:rPr>
          <w:rFonts w:cs="Arial" w:asciiTheme="minorEastAsia" w:hAnsiTheme="minorEastAsia"/>
          <w:color w:val="000000"/>
          <w:kern w:val="0"/>
          <w:sz w:val="24"/>
          <w:szCs w:val="24"/>
        </w:rPr>
        <w:t>可以看到，在中美的博弈过程中，欧洲的政府、企业们也颇为忌惮对决的后果，开始探索新路径，欲减少对美国等地区供应链的依赖，从区域内部到全球市场，半导体行业都处在变动、重塑中。而在这样特殊的十字路口，半导体的需求还在不断增长，景气度正在回升，业内的竞争也更显激烈，面对着“硅”世界的演化，巨头们已经展开新一轮的卡位布局。</w:t>
      </w:r>
    </w:p>
    <w:p>
      <w:pPr>
        <w:keepNext w:val="0"/>
        <w:keepLines w:val="0"/>
        <w:pageBreakBefore w:val="0"/>
        <w:widowControl/>
        <w:kinsoku/>
        <w:wordWrap/>
        <w:overflowPunct/>
        <w:topLinePunct w:val="0"/>
        <w:autoSpaceDE/>
        <w:autoSpaceDN/>
        <w:bidi w:val="0"/>
        <w:adjustRightInd/>
        <w:snapToGrid/>
        <w:spacing w:line="420" w:lineRule="exact"/>
        <w:ind w:firstLine="482" w:firstLineChars="200"/>
        <w:jc w:val="left"/>
        <w:textAlignment w:val="auto"/>
        <w:outlineLvl w:val="3"/>
        <w:rPr>
          <w:rFonts w:cs="Arial" w:asciiTheme="minorEastAsia" w:hAnsiTheme="minorEastAsia"/>
          <w:b/>
          <w:bCs/>
          <w:color w:val="000000"/>
          <w:kern w:val="0"/>
          <w:sz w:val="24"/>
          <w:szCs w:val="24"/>
        </w:rPr>
      </w:pPr>
      <w:r>
        <w:rPr>
          <w:rFonts w:cs="Arial" w:asciiTheme="minorEastAsia" w:hAnsiTheme="minorEastAsia"/>
          <w:b/>
          <w:bCs/>
          <w:color w:val="000000"/>
          <w:kern w:val="0"/>
          <w:sz w:val="24"/>
          <w:szCs w:val="24"/>
        </w:rPr>
        <w:t>并购汹涌 产业链重构</w:t>
      </w:r>
    </w:p>
    <w:p>
      <w:pPr>
        <w:keepNext w:val="0"/>
        <w:keepLines w:val="0"/>
        <w:pageBreakBefore w:val="0"/>
        <w:widowControl/>
        <w:kinsoku/>
        <w:wordWrap/>
        <w:overflowPunct/>
        <w:topLinePunct w:val="0"/>
        <w:autoSpaceDE/>
        <w:autoSpaceDN/>
        <w:bidi w:val="0"/>
        <w:adjustRightInd/>
        <w:snapToGrid/>
        <w:spacing w:line="420" w:lineRule="exact"/>
        <w:ind w:firstLine="480" w:firstLineChars="200"/>
        <w:textAlignment w:val="auto"/>
        <w:rPr>
          <w:rFonts w:cs="Arial" w:asciiTheme="minorEastAsia" w:hAnsiTheme="minorEastAsia"/>
          <w:color w:val="000000"/>
          <w:kern w:val="0"/>
          <w:sz w:val="24"/>
          <w:szCs w:val="24"/>
        </w:rPr>
      </w:pPr>
      <w:r>
        <w:rPr>
          <w:rFonts w:cs="Arial" w:asciiTheme="minorEastAsia" w:hAnsiTheme="minorEastAsia"/>
          <w:color w:val="000000"/>
          <w:kern w:val="0"/>
          <w:sz w:val="24"/>
          <w:szCs w:val="24"/>
        </w:rPr>
        <w:t>回看2020年的重磅收购，ADI宣布收购Maxim（约210亿美元）、英伟达要拿下ARM（约400亿美元）、AMD要买下赛灵思（约300亿美元），SK海力士拟将英特尔的闪存业务（约90亿美元）收入囊中、Marvell要收购Inphi（约100亿美元）、环球晶圆收购Siltronic（约45亿美元），以上交易总额就已经超过了1000亿美元。当然一些收购还需要面临审核，但是并购的势头还会继续，若美国企业的收购均成功，那么美国就拥有了几乎全部的半导体核心技术，产业链实力进一步增强。</w:t>
      </w:r>
    </w:p>
    <w:p>
      <w:pPr>
        <w:keepNext w:val="0"/>
        <w:keepLines w:val="0"/>
        <w:pageBreakBefore w:val="0"/>
        <w:widowControl/>
        <w:kinsoku/>
        <w:wordWrap/>
        <w:overflowPunct/>
        <w:topLinePunct w:val="0"/>
        <w:autoSpaceDE/>
        <w:autoSpaceDN/>
        <w:bidi w:val="0"/>
        <w:adjustRightInd/>
        <w:snapToGrid/>
        <w:spacing w:line="420" w:lineRule="exact"/>
        <w:ind w:firstLine="480" w:firstLineChars="200"/>
        <w:textAlignment w:val="auto"/>
        <w:rPr>
          <w:rFonts w:cs="Arial" w:asciiTheme="minorEastAsia" w:hAnsiTheme="minorEastAsia"/>
          <w:color w:val="000000"/>
          <w:kern w:val="0"/>
          <w:sz w:val="24"/>
          <w:szCs w:val="24"/>
        </w:rPr>
      </w:pPr>
      <w:r>
        <w:rPr>
          <w:rFonts w:cs="Arial" w:asciiTheme="minorEastAsia" w:hAnsiTheme="minorEastAsia"/>
          <w:color w:val="000000"/>
          <w:kern w:val="0"/>
          <w:sz w:val="24"/>
          <w:szCs w:val="24"/>
        </w:rPr>
        <w:t>以英特尔、AMD和英伟达为例，北京汉能投资董事总经理陈少民在一场演讲中谈道，三者呈现三强鼎立之势，都对数据中心、边缘计算进行了超前布局。英特尔旗下有Altera、eAsic、GPU，AMD有赛灵思和GPU组合，英伟达和ARM组成新阵营。 一方面英特尔的地位遭遇挑战；另一方面，三巨头都有各自思量提前筹谋，未来将会进一步降低AI芯片的门槛，在新一轮竞争力的比赛中，他们依旧跑在前列。</w:t>
      </w:r>
    </w:p>
    <w:p>
      <w:pPr>
        <w:keepNext w:val="0"/>
        <w:keepLines w:val="0"/>
        <w:pageBreakBefore w:val="0"/>
        <w:widowControl/>
        <w:kinsoku/>
        <w:wordWrap/>
        <w:overflowPunct/>
        <w:topLinePunct w:val="0"/>
        <w:autoSpaceDE/>
        <w:autoSpaceDN/>
        <w:bidi w:val="0"/>
        <w:adjustRightInd/>
        <w:snapToGrid/>
        <w:spacing w:line="420" w:lineRule="exact"/>
        <w:ind w:firstLine="480" w:firstLineChars="200"/>
        <w:textAlignment w:val="auto"/>
        <w:rPr>
          <w:rFonts w:cs="Arial" w:asciiTheme="minorEastAsia" w:hAnsiTheme="minorEastAsia"/>
          <w:color w:val="000000"/>
          <w:kern w:val="0"/>
          <w:sz w:val="24"/>
          <w:szCs w:val="24"/>
        </w:rPr>
      </w:pPr>
      <w:r>
        <w:rPr>
          <w:rFonts w:cs="Arial" w:asciiTheme="minorEastAsia" w:hAnsiTheme="minorEastAsia"/>
          <w:color w:val="000000"/>
          <w:kern w:val="0"/>
          <w:sz w:val="24"/>
          <w:szCs w:val="24"/>
        </w:rPr>
        <w:t>一位半导体行业资深分析师就告诉21世纪经济报道记者：“并购是为了追求成长，目前全球半导体是稳定的行业，当然中国半导体行业例外，中国市场还在持续成长。但是预计快则三年，慢则五年，中国半导体行业也会开始有不少收购案。比如因为科创板的关系，不少公司会有更多的资金，国际并购之后，中国并购案会陆续上演，中国也会开始进入优胜劣汰的阶段了，会从芯片设计行业开始。”</w:t>
      </w:r>
    </w:p>
    <w:p>
      <w:pPr>
        <w:keepNext w:val="0"/>
        <w:keepLines w:val="0"/>
        <w:pageBreakBefore w:val="0"/>
        <w:widowControl/>
        <w:kinsoku/>
        <w:wordWrap/>
        <w:overflowPunct/>
        <w:topLinePunct w:val="0"/>
        <w:autoSpaceDE/>
        <w:autoSpaceDN/>
        <w:bidi w:val="0"/>
        <w:adjustRightInd/>
        <w:snapToGrid/>
        <w:spacing w:line="420" w:lineRule="exact"/>
        <w:ind w:firstLine="480" w:firstLineChars="200"/>
        <w:textAlignment w:val="auto"/>
        <w:rPr>
          <w:rFonts w:cs="Arial" w:asciiTheme="minorEastAsia" w:hAnsiTheme="minorEastAsia"/>
          <w:color w:val="000000"/>
          <w:kern w:val="0"/>
          <w:sz w:val="24"/>
          <w:szCs w:val="24"/>
        </w:rPr>
      </w:pPr>
      <w:r>
        <w:rPr>
          <w:rFonts w:cs="Arial" w:asciiTheme="minorEastAsia" w:hAnsiTheme="minorEastAsia"/>
          <w:color w:val="000000"/>
          <w:kern w:val="0"/>
          <w:sz w:val="24"/>
          <w:szCs w:val="24"/>
        </w:rPr>
        <w:t>一边是半导体产业内部的整合，另一边则是美国对于中国科技产业打压带来的产业链变动，以华为为首的中国企业寻找着新的供应商链条，欧洲的供应商们也在思考“去美化”的问题，国内苹果产业链在逐渐往国外迁移，美国政策引发的蝴蝶效应还在继续。</w:t>
      </w:r>
    </w:p>
    <w:p>
      <w:pPr>
        <w:keepNext w:val="0"/>
        <w:keepLines w:val="0"/>
        <w:pageBreakBefore w:val="0"/>
        <w:widowControl/>
        <w:kinsoku/>
        <w:wordWrap/>
        <w:overflowPunct/>
        <w:topLinePunct w:val="0"/>
        <w:autoSpaceDE/>
        <w:autoSpaceDN/>
        <w:bidi w:val="0"/>
        <w:adjustRightInd/>
        <w:snapToGrid/>
        <w:spacing w:line="420" w:lineRule="exact"/>
        <w:ind w:firstLine="480" w:firstLineChars="200"/>
        <w:textAlignment w:val="auto"/>
        <w:rPr>
          <w:rFonts w:cs="Arial" w:asciiTheme="minorEastAsia" w:hAnsiTheme="minorEastAsia"/>
          <w:color w:val="000000"/>
          <w:kern w:val="0"/>
          <w:sz w:val="24"/>
          <w:szCs w:val="24"/>
        </w:rPr>
      </w:pPr>
      <w:r>
        <w:rPr>
          <w:rFonts w:cs="Arial" w:asciiTheme="minorEastAsia" w:hAnsiTheme="minorEastAsia"/>
          <w:color w:val="000000"/>
          <w:kern w:val="0"/>
          <w:sz w:val="24"/>
          <w:szCs w:val="24"/>
        </w:rPr>
        <w:t>作为资本密集、智力密集、产业链高度协作的产业，半导体圈内并购不断，资本市场活跃，如今面临新变局。“半导体既是一个高科技行业，从机械制造行业发展过来，历史比互联网行业要悠久得多，同时它又像传统行业，在全球产业链的框架之下，上下游紧密联系配合。同为高科技行业，半导体是传统高科技企业，不像互联网有大量的开源技术，而是有很高壁垒，有很多技术封锁，新晋者很难挑战巨头，培育需要时间，这个产业需要供养。”一位半导体业内人士向21世纪经济报道记者分析道。</w:t>
      </w:r>
    </w:p>
    <w:p>
      <w:pPr>
        <w:keepNext w:val="0"/>
        <w:keepLines w:val="0"/>
        <w:pageBreakBefore w:val="0"/>
        <w:widowControl/>
        <w:kinsoku/>
        <w:wordWrap/>
        <w:overflowPunct/>
        <w:topLinePunct w:val="0"/>
        <w:autoSpaceDE/>
        <w:autoSpaceDN/>
        <w:bidi w:val="0"/>
        <w:adjustRightInd/>
        <w:snapToGrid/>
        <w:spacing w:line="420" w:lineRule="exact"/>
        <w:ind w:firstLine="480" w:firstLineChars="200"/>
        <w:textAlignment w:val="auto"/>
        <w:rPr>
          <w:rFonts w:cs="Arial" w:asciiTheme="minorEastAsia" w:hAnsiTheme="minorEastAsia"/>
          <w:color w:val="000000"/>
          <w:kern w:val="0"/>
          <w:sz w:val="24"/>
          <w:szCs w:val="24"/>
        </w:rPr>
      </w:pPr>
      <w:r>
        <w:rPr>
          <w:rFonts w:cs="Arial" w:asciiTheme="minorEastAsia" w:hAnsiTheme="minorEastAsia"/>
          <w:color w:val="000000"/>
          <w:kern w:val="0"/>
          <w:sz w:val="24"/>
          <w:szCs w:val="24"/>
        </w:rPr>
        <w:t>不论是全球还是国内，巨头的排位、供应链的重塑、计算架构层面的竞争、国产替代的浪潮，都在持续进行当中，2021年的局面将更加挑战和复杂。</w:t>
      </w:r>
    </w:p>
    <w:p>
      <w:pPr>
        <w:keepNext w:val="0"/>
        <w:keepLines w:val="0"/>
        <w:pageBreakBefore w:val="0"/>
        <w:widowControl/>
        <w:kinsoku/>
        <w:wordWrap/>
        <w:overflowPunct/>
        <w:topLinePunct w:val="0"/>
        <w:autoSpaceDE/>
        <w:autoSpaceDN/>
        <w:bidi w:val="0"/>
        <w:adjustRightInd/>
        <w:snapToGrid/>
        <w:spacing w:line="420" w:lineRule="exact"/>
        <w:ind w:firstLine="482" w:firstLineChars="200"/>
        <w:jc w:val="left"/>
        <w:textAlignment w:val="auto"/>
        <w:outlineLvl w:val="3"/>
        <w:rPr>
          <w:rFonts w:cs="Arial" w:asciiTheme="minorEastAsia" w:hAnsiTheme="minorEastAsia"/>
          <w:b/>
          <w:bCs/>
          <w:color w:val="000000"/>
          <w:kern w:val="0"/>
          <w:sz w:val="24"/>
          <w:szCs w:val="24"/>
        </w:rPr>
      </w:pPr>
      <w:r>
        <w:rPr>
          <w:rFonts w:cs="Arial" w:asciiTheme="minorEastAsia" w:hAnsiTheme="minorEastAsia"/>
          <w:b/>
          <w:bCs/>
          <w:color w:val="000000"/>
          <w:kern w:val="0"/>
          <w:sz w:val="24"/>
          <w:szCs w:val="24"/>
        </w:rPr>
        <w:t>国产替代加速华为中芯存变数</w:t>
      </w:r>
    </w:p>
    <w:p>
      <w:pPr>
        <w:keepNext w:val="0"/>
        <w:keepLines w:val="0"/>
        <w:pageBreakBefore w:val="0"/>
        <w:widowControl/>
        <w:kinsoku/>
        <w:wordWrap/>
        <w:overflowPunct/>
        <w:topLinePunct w:val="0"/>
        <w:autoSpaceDE/>
        <w:autoSpaceDN/>
        <w:bidi w:val="0"/>
        <w:adjustRightInd/>
        <w:snapToGrid/>
        <w:spacing w:line="420" w:lineRule="exact"/>
        <w:ind w:firstLine="480" w:firstLineChars="200"/>
        <w:textAlignment w:val="auto"/>
        <w:rPr>
          <w:rFonts w:cs="Arial" w:asciiTheme="minorEastAsia" w:hAnsiTheme="minorEastAsia"/>
          <w:color w:val="000000"/>
          <w:kern w:val="0"/>
          <w:sz w:val="24"/>
          <w:szCs w:val="24"/>
        </w:rPr>
      </w:pPr>
      <w:r>
        <w:rPr>
          <w:rFonts w:cs="Arial" w:asciiTheme="minorEastAsia" w:hAnsiTheme="minorEastAsia"/>
          <w:color w:val="000000"/>
          <w:kern w:val="0"/>
          <w:sz w:val="24"/>
          <w:szCs w:val="24"/>
        </w:rPr>
        <w:t>再看国内，一方面国内半导体的投资在不断增长，有投资者指出，2019年一级市场上半导体并不火热，但是2020年，半导体相关投资力度迅速上涨至第一。但是另一方面乱象不断，一些项目真假难辨，其中有矛盾和反差之处。从背景看，国内半导体产业面临的局势也更加复杂，首先是美国打压带来的产业链压力，首当其冲的华为和中芯国际都处在不确定当中，国产替代的脚步在加快。</w:t>
      </w:r>
    </w:p>
    <w:p>
      <w:pPr>
        <w:keepNext w:val="0"/>
        <w:keepLines w:val="0"/>
        <w:pageBreakBefore w:val="0"/>
        <w:widowControl/>
        <w:kinsoku/>
        <w:wordWrap/>
        <w:overflowPunct/>
        <w:topLinePunct w:val="0"/>
        <w:autoSpaceDE/>
        <w:autoSpaceDN/>
        <w:bidi w:val="0"/>
        <w:adjustRightInd/>
        <w:snapToGrid/>
        <w:spacing w:line="420" w:lineRule="exact"/>
        <w:ind w:firstLine="480" w:firstLineChars="200"/>
        <w:textAlignment w:val="auto"/>
        <w:rPr>
          <w:rFonts w:cs="Arial" w:asciiTheme="minorEastAsia" w:hAnsiTheme="minorEastAsia"/>
          <w:color w:val="000000"/>
          <w:kern w:val="0"/>
          <w:sz w:val="24"/>
          <w:szCs w:val="24"/>
        </w:rPr>
      </w:pPr>
      <w:r>
        <w:rPr>
          <w:rFonts w:cs="Arial" w:asciiTheme="minorEastAsia" w:hAnsiTheme="minorEastAsia"/>
          <w:color w:val="000000"/>
          <w:kern w:val="0"/>
          <w:sz w:val="24"/>
          <w:szCs w:val="24"/>
        </w:rPr>
        <w:t>近日，清华大学教授魏少军在接受媒体采访时表示，中国芯片产业在当前的处境下带来的反弹影响深远，将会加速国产及欧日韩元器件作为替代。同时，他提到，中国28nm芯片产业链有望在1-2年内走向成熟。</w:t>
      </w:r>
    </w:p>
    <w:p>
      <w:pPr>
        <w:keepNext w:val="0"/>
        <w:keepLines w:val="0"/>
        <w:pageBreakBefore w:val="0"/>
        <w:widowControl/>
        <w:kinsoku/>
        <w:wordWrap/>
        <w:overflowPunct/>
        <w:topLinePunct w:val="0"/>
        <w:autoSpaceDE/>
        <w:autoSpaceDN/>
        <w:bidi w:val="0"/>
        <w:adjustRightInd/>
        <w:snapToGrid/>
        <w:spacing w:line="420" w:lineRule="exact"/>
        <w:ind w:firstLine="480" w:firstLineChars="200"/>
        <w:textAlignment w:val="auto"/>
        <w:rPr>
          <w:rFonts w:cs="Arial" w:asciiTheme="minorEastAsia" w:hAnsiTheme="minorEastAsia"/>
          <w:color w:val="000000"/>
          <w:kern w:val="0"/>
          <w:sz w:val="24"/>
          <w:szCs w:val="24"/>
        </w:rPr>
      </w:pPr>
      <w:r>
        <w:rPr>
          <w:rFonts w:cs="Arial" w:asciiTheme="minorEastAsia" w:hAnsiTheme="minorEastAsia"/>
          <w:color w:val="000000"/>
          <w:kern w:val="0"/>
          <w:sz w:val="24"/>
          <w:szCs w:val="24"/>
        </w:rPr>
        <w:t>在魏少军看来，原来中国整机企业不太（愿意）使用国产元器件，现在则发生了一个根本变化，开始主动使用国产元器件。“从供应链的安全来说，它要去寻找一种替代的方案，当然也不局限于在国内自己的元器件，还包括其他国家和地区的比如欧洲、日本、韩国的元器件作为替代。”</w:t>
      </w:r>
    </w:p>
    <w:p>
      <w:pPr>
        <w:keepNext w:val="0"/>
        <w:keepLines w:val="0"/>
        <w:pageBreakBefore w:val="0"/>
        <w:widowControl/>
        <w:kinsoku/>
        <w:wordWrap/>
        <w:overflowPunct/>
        <w:topLinePunct w:val="0"/>
        <w:autoSpaceDE/>
        <w:autoSpaceDN/>
        <w:bidi w:val="0"/>
        <w:adjustRightInd/>
        <w:snapToGrid/>
        <w:spacing w:line="420" w:lineRule="exact"/>
        <w:ind w:firstLine="480" w:firstLineChars="200"/>
        <w:textAlignment w:val="auto"/>
        <w:rPr>
          <w:rFonts w:cs="Arial" w:asciiTheme="minorEastAsia" w:hAnsiTheme="minorEastAsia"/>
          <w:color w:val="000000"/>
          <w:kern w:val="0"/>
          <w:sz w:val="24"/>
          <w:szCs w:val="24"/>
        </w:rPr>
      </w:pPr>
      <w:r>
        <w:rPr>
          <w:rFonts w:cs="Arial" w:asciiTheme="minorEastAsia" w:hAnsiTheme="minorEastAsia"/>
          <w:color w:val="000000"/>
          <w:kern w:val="0"/>
          <w:sz w:val="24"/>
          <w:szCs w:val="24"/>
        </w:rPr>
        <w:t>虽然国产替代是大家期待，但是这仍需要长久的体系化的培育，韩国押上国运倾力投入半导体产业方得到当今地位，日本也是几经波折建立起较完善的半导体产业链壁垒，中国的国产替代任重道远，同时多位专家也提到，需要联合能够联合的合作伙伴，扩大朋友圈。</w:t>
      </w:r>
    </w:p>
    <w:p>
      <w:pPr>
        <w:keepNext w:val="0"/>
        <w:keepLines w:val="0"/>
        <w:pageBreakBefore w:val="0"/>
        <w:widowControl/>
        <w:kinsoku/>
        <w:wordWrap/>
        <w:overflowPunct/>
        <w:topLinePunct w:val="0"/>
        <w:autoSpaceDE/>
        <w:autoSpaceDN/>
        <w:bidi w:val="0"/>
        <w:adjustRightInd/>
        <w:snapToGrid/>
        <w:spacing w:line="420" w:lineRule="exact"/>
        <w:ind w:firstLine="480" w:firstLineChars="200"/>
        <w:textAlignment w:val="auto"/>
        <w:rPr>
          <w:rFonts w:cs="Arial" w:asciiTheme="minorEastAsia" w:hAnsiTheme="minorEastAsia"/>
          <w:color w:val="000000"/>
          <w:kern w:val="0"/>
          <w:sz w:val="24"/>
          <w:szCs w:val="24"/>
        </w:rPr>
      </w:pPr>
      <w:r>
        <w:rPr>
          <w:rFonts w:cs="Arial" w:asciiTheme="minorEastAsia" w:hAnsiTheme="minorEastAsia"/>
          <w:color w:val="000000"/>
          <w:kern w:val="0"/>
          <w:sz w:val="24"/>
          <w:szCs w:val="24"/>
        </w:rPr>
        <w:t>而国产替代的一大催化因素就是美国“实体清单”等相关管制，华为之后，中芯国际近期也被列入名单当中，在2021年中，两大巨头也成为两大核心变数，一方面，美国换届选举后对于中国科技企业的举措也有可能发生变化，但无论最后取向如何，需要重新探讨就有一定的缓冲时间来准备；另一方面，和合作伙伴一起建立去美化、自主化的产线绝非易事。</w:t>
      </w:r>
    </w:p>
    <w:p>
      <w:pPr>
        <w:keepNext w:val="0"/>
        <w:keepLines w:val="0"/>
        <w:pageBreakBefore w:val="0"/>
        <w:widowControl/>
        <w:kinsoku/>
        <w:wordWrap/>
        <w:overflowPunct/>
        <w:topLinePunct w:val="0"/>
        <w:autoSpaceDE/>
        <w:autoSpaceDN/>
        <w:bidi w:val="0"/>
        <w:adjustRightInd/>
        <w:snapToGrid/>
        <w:spacing w:line="420" w:lineRule="exact"/>
        <w:ind w:firstLine="480" w:firstLineChars="200"/>
        <w:textAlignment w:val="auto"/>
        <w:rPr>
          <w:rFonts w:cs="Arial" w:asciiTheme="minorEastAsia" w:hAnsiTheme="minorEastAsia"/>
          <w:color w:val="000000"/>
          <w:kern w:val="0"/>
          <w:sz w:val="24"/>
          <w:szCs w:val="24"/>
        </w:rPr>
      </w:pPr>
      <w:r>
        <w:rPr>
          <w:rFonts w:cs="Arial" w:asciiTheme="minorEastAsia" w:hAnsiTheme="minorEastAsia"/>
          <w:color w:val="000000"/>
          <w:kern w:val="0"/>
          <w:sz w:val="24"/>
          <w:szCs w:val="24"/>
        </w:rPr>
        <w:t>TrendForce集邦咨询指出，自2020年9月10日中芯国际首次传出可能被列入实体清单后，其主要美系客户高通、博通即陆续规划转单，甚至包括中国厂商兆易创新也已调整将主要配套生产交由华虹集团。而2020年12月18日正式被美国商务部列入实体清单后，规定美系供应商都需申请许可才能对其出货，其中，10nm（含）以下先进制程设备皆被全面拒绝核发许可。</w:t>
      </w:r>
    </w:p>
    <w:p>
      <w:pPr>
        <w:keepNext w:val="0"/>
        <w:keepLines w:val="0"/>
        <w:pageBreakBefore w:val="0"/>
        <w:widowControl/>
        <w:kinsoku/>
        <w:wordWrap/>
        <w:overflowPunct/>
        <w:topLinePunct w:val="0"/>
        <w:autoSpaceDE/>
        <w:autoSpaceDN/>
        <w:bidi w:val="0"/>
        <w:adjustRightInd/>
        <w:snapToGrid/>
        <w:spacing w:line="420" w:lineRule="exact"/>
        <w:ind w:firstLine="480" w:firstLineChars="200"/>
        <w:textAlignment w:val="auto"/>
        <w:rPr>
          <w:rFonts w:cs="Arial" w:asciiTheme="minorEastAsia" w:hAnsiTheme="minorEastAsia"/>
          <w:color w:val="000000"/>
          <w:kern w:val="0"/>
          <w:sz w:val="24"/>
          <w:szCs w:val="24"/>
        </w:rPr>
      </w:pPr>
      <w:r>
        <w:rPr>
          <w:rFonts w:cs="Arial" w:asciiTheme="minorEastAsia" w:hAnsiTheme="minorEastAsia"/>
          <w:color w:val="000000"/>
          <w:kern w:val="0"/>
          <w:sz w:val="24"/>
          <w:szCs w:val="24"/>
        </w:rPr>
        <w:t>目前中国自产设备仅可提供最先进的90nm产线，短期内欲达成半导体产线全自主化的可能性极低，中芯国际目前尚无10nm以下产品进入量产，同时往后制程研发及扩产皆会面临更多阻碍。此外，目前最大隐忧在于设备耗材及化学原物料，虽然中芯国际正积极导入中国自产设备及化学原物料，但导入情况仍未明朗。</w:t>
      </w:r>
    </w:p>
    <w:p>
      <w:pPr>
        <w:keepNext w:val="0"/>
        <w:keepLines w:val="0"/>
        <w:pageBreakBefore w:val="0"/>
        <w:widowControl/>
        <w:kinsoku/>
        <w:wordWrap/>
        <w:overflowPunct/>
        <w:topLinePunct w:val="0"/>
        <w:autoSpaceDE/>
        <w:autoSpaceDN/>
        <w:bidi w:val="0"/>
        <w:adjustRightInd/>
        <w:snapToGrid/>
        <w:spacing w:line="420" w:lineRule="exact"/>
        <w:ind w:firstLine="480" w:firstLineChars="200"/>
        <w:textAlignment w:val="auto"/>
        <w:rPr>
          <w:rFonts w:cs="Arial" w:asciiTheme="minorEastAsia" w:hAnsiTheme="minorEastAsia"/>
          <w:color w:val="000000"/>
          <w:kern w:val="0"/>
          <w:sz w:val="24"/>
          <w:szCs w:val="24"/>
        </w:rPr>
      </w:pPr>
      <w:r>
        <w:rPr>
          <w:rFonts w:cs="Arial" w:asciiTheme="minorEastAsia" w:hAnsiTheme="minorEastAsia"/>
          <w:color w:val="000000"/>
          <w:kern w:val="0"/>
          <w:sz w:val="24"/>
          <w:szCs w:val="24"/>
        </w:rPr>
        <w:t>华为也在继续求生存，并在半导体领域持续扎根，解决芯片难题。华为旗下的哈勃科技投资有限公司已经投资了不少产业链公司，比如近期披露的国产EDA企业九同方微电子，以及宁波润华全芯微电子设备有限公司，国产替代将是一场持久的供养。</w:t>
      </w:r>
    </w:p>
    <w:p>
      <w:pPr>
        <w:keepNext w:val="0"/>
        <w:keepLines w:val="0"/>
        <w:pageBreakBefore w:val="0"/>
        <w:widowControl/>
        <w:kinsoku/>
        <w:wordWrap/>
        <w:overflowPunct/>
        <w:topLinePunct w:val="0"/>
        <w:autoSpaceDE/>
        <w:autoSpaceDN/>
        <w:bidi w:val="0"/>
        <w:adjustRightInd/>
        <w:snapToGrid/>
        <w:spacing w:line="420" w:lineRule="exact"/>
        <w:ind w:firstLine="482" w:firstLineChars="200"/>
        <w:jc w:val="left"/>
        <w:textAlignment w:val="auto"/>
        <w:outlineLvl w:val="3"/>
        <w:rPr>
          <w:rFonts w:cs="Arial" w:asciiTheme="minorEastAsia" w:hAnsiTheme="minorEastAsia"/>
          <w:b/>
          <w:bCs/>
          <w:color w:val="000000"/>
          <w:kern w:val="0"/>
          <w:sz w:val="24"/>
          <w:szCs w:val="24"/>
        </w:rPr>
      </w:pPr>
      <w:r>
        <w:rPr>
          <w:rFonts w:cs="Arial" w:asciiTheme="minorEastAsia" w:hAnsiTheme="minorEastAsia"/>
          <w:b/>
          <w:bCs/>
          <w:color w:val="000000"/>
          <w:kern w:val="0"/>
          <w:sz w:val="24"/>
          <w:szCs w:val="24"/>
        </w:rPr>
        <w:t>数字化推动硅需求2021年产能依旧紧缺</w:t>
      </w:r>
    </w:p>
    <w:p>
      <w:pPr>
        <w:keepNext w:val="0"/>
        <w:keepLines w:val="0"/>
        <w:pageBreakBefore w:val="0"/>
        <w:widowControl/>
        <w:kinsoku/>
        <w:wordWrap/>
        <w:overflowPunct/>
        <w:topLinePunct w:val="0"/>
        <w:autoSpaceDE/>
        <w:autoSpaceDN/>
        <w:bidi w:val="0"/>
        <w:adjustRightInd/>
        <w:snapToGrid/>
        <w:spacing w:line="420" w:lineRule="exact"/>
        <w:ind w:firstLine="480" w:firstLineChars="200"/>
        <w:textAlignment w:val="auto"/>
        <w:rPr>
          <w:rFonts w:cs="Arial" w:asciiTheme="minorEastAsia" w:hAnsiTheme="minorEastAsia"/>
          <w:color w:val="000000"/>
          <w:kern w:val="0"/>
          <w:sz w:val="24"/>
          <w:szCs w:val="24"/>
        </w:rPr>
      </w:pPr>
      <w:r>
        <w:rPr>
          <w:rFonts w:cs="Arial" w:asciiTheme="minorEastAsia" w:hAnsiTheme="minorEastAsia"/>
          <w:color w:val="000000"/>
          <w:kern w:val="0"/>
          <w:sz w:val="24"/>
          <w:szCs w:val="24"/>
        </w:rPr>
        <w:t>与此同时，产能不足的问题将继续影响半导体产业。</w:t>
      </w:r>
    </w:p>
    <w:p>
      <w:pPr>
        <w:keepNext w:val="0"/>
        <w:keepLines w:val="0"/>
        <w:pageBreakBefore w:val="0"/>
        <w:widowControl/>
        <w:kinsoku/>
        <w:wordWrap/>
        <w:overflowPunct/>
        <w:topLinePunct w:val="0"/>
        <w:autoSpaceDE/>
        <w:autoSpaceDN/>
        <w:bidi w:val="0"/>
        <w:adjustRightInd/>
        <w:snapToGrid/>
        <w:spacing w:line="420" w:lineRule="exact"/>
        <w:ind w:firstLine="480" w:firstLineChars="200"/>
        <w:textAlignment w:val="auto"/>
        <w:rPr>
          <w:rFonts w:cs="Arial" w:asciiTheme="minorEastAsia" w:hAnsiTheme="minorEastAsia"/>
          <w:color w:val="000000"/>
          <w:kern w:val="0"/>
          <w:sz w:val="24"/>
          <w:szCs w:val="24"/>
        </w:rPr>
      </w:pPr>
      <w:r>
        <w:rPr>
          <w:rFonts w:cs="Arial" w:asciiTheme="minorEastAsia" w:hAnsiTheme="minorEastAsia"/>
          <w:color w:val="000000"/>
          <w:kern w:val="0"/>
          <w:sz w:val="24"/>
          <w:szCs w:val="24"/>
        </w:rPr>
        <w:t>一方面，数字化生活为半导体产业带来强劲需求和新机遇，数据中心、智能汽车、可穿戴设备、智能家居等IoT品类对于各类芯片、电子元器件的需求大幅度提升。</w:t>
      </w:r>
    </w:p>
    <w:p>
      <w:pPr>
        <w:keepNext w:val="0"/>
        <w:keepLines w:val="0"/>
        <w:pageBreakBefore w:val="0"/>
        <w:widowControl/>
        <w:kinsoku/>
        <w:wordWrap/>
        <w:overflowPunct/>
        <w:topLinePunct w:val="0"/>
        <w:autoSpaceDE/>
        <w:autoSpaceDN/>
        <w:bidi w:val="0"/>
        <w:adjustRightInd/>
        <w:snapToGrid/>
        <w:spacing w:line="420" w:lineRule="exact"/>
        <w:ind w:firstLine="480" w:firstLineChars="200"/>
        <w:textAlignment w:val="auto"/>
        <w:rPr>
          <w:rFonts w:cs="Arial" w:asciiTheme="minorEastAsia" w:hAnsiTheme="minorEastAsia"/>
          <w:color w:val="000000"/>
          <w:kern w:val="0"/>
          <w:sz w:val="24"/>
          <w:szCs w:val="24"/>
        </w:rPr>
      </w:pPr>
      <w:r>
        <w:rPr>
          <w:rFonts w:cs="Arial" w:asciiTheme="minorEastAsia" w:hAnsiTheme="minorEastAsia"/>
          <w:color w:val="000000"/>
          <w:kern w:val="0"/>
          <w:sz w:val="24"/>
          <w:szCs w:val="24"/>
        </w:rPr>
        <w:t>比如5G手机中的硅含量将大大提升，Sumco预计5G智能手机升级将拉动需求，单机的DRAM、Camera硅含量翻倍，NAND硅含量增长至8倍；恩智浦半导体全球销售与营销执行副总裁Steve Owen就曾对21世纪经济报道记者表示，将来的电动车里可能会配有1000美元的半导体产品。</w:t>
      </w:r>
    </w:p>
    <w:p>
      <w:pPr>
        <w:keepNext w:val="0"/>
        <w:keepLines w:val="0"/>
        <w:pageBreakBefore w:val="0"/>
        <w:widowControl/>
        <w:kinsoku/>
        <w:wordWrap/>
        <w:overflowPunct/>
        <w:topLinePunct w:val="0"/>
        <w:autoSpaceDE/>
        <w:autoSpaceDN/>
        <w:bidi w:val="0"/>
        <w:adjustRightInd/>
        <w:snapToGrid/>
        <w:spacing w:line="420" w:lineRule="exact"/>
        <w:ind w:firstLine="480" w:firstLineChars="200"/>
        <w:textAlignment w:val="auto"/>
        <w:rPr>
          <w:rFonts w:cs="Arial" w:asciiTheme="minorEastAsia" w:hAnsiTheme="minorEastAsia"/>
          <w:color w:val="000000"/>
          <w:kern w:val="0"/>
          <w:sz w:val="24"/>
          <w:szCs w:val="24"/>
        </w:rPr>
      </w:pPr>
      <w:r>
        <w:rPr>
          <w:rFonts w:cs="Arial" w:asciiTheme="minorEastAsia" w:hAnsiTheme="minorEastAsia"/>
          <w:color w:val="000000"/>
          <w:kern w:val="0"/>
          <w:sz w:val="24"/>
          <w:szCs w:val="24"/>
        </w:rPr>
        <w:t>另一方面，面对剧增的需求，全球却产能紧缺，国内的产线产能也供不应求，紧缺程度大。SEMI预测，2021年晶圆代工厂（Foundry）会继续出现供给紧迫的现象，2020年的晶圆代工市场会较上年增长20%，工厂会收到客户的大批量订单，因而导致满负荷运转、供给紧凑。受到美国制裁的中芯国际的客户应该会去寻找新的代工厂，某种程度上对晶圆代工的需求会出现增长。同时，由于PMIC、DDI、MCU、传感器的需求增长，200mm Foundry的供给尤其紧迫。</w:t>
      </w:r>
    </w:p>
    <w:p>
      <w:pPr>
        <w:keepNext w:val="0"/>
        <w:keepLines w:val="0"/>
        <w:pageBreakBefore w:val="0"/>
        <w:widowControl/>
        <w:kinsoku/>
        <w:wordWrap/>
        <w:overflowPunct/>
        <w:topLinePunct w:val="0"/>
        <w:autoSpaceDE/>
        <w:autoSpaceDN/>
        <w:bidi w:val="0"/>
        <w:adjustRightInd/>
        <w:snapToGrid/>
        <w:spacing w:line="420" w:lineRule="exact"/>
        <w:ind w:firstLine="480" w:firstLineChars="200"/>
        <w:textAlignment w:val="auto"/>
        <w:rPr>
          <w:rFonts w:cs="Arial" w:asciiTheme="minorEastAsia" w:hAnsiTheme="minorEastAsia"/>
          <w:color w:val="000000"/>
          <w:kern w:val="0"/>
          <w:sz w:val="24"/>
          <w:szCs w:val="24"/>
        </w:rPr>
      </w:pPr>
      <w:r>
        <w:rPr>
          <w:rFonts w:cs="Arial" w:asciiTheme="minorEastAsia" w:hAnsiTheme="minorEastAsia"/>
          <w:color w:val="000000"/>
          <w:kern w:val="0"/>
          <w:sz w:val="24"/>
          <w:szCs w:val="24"/>
        </w:rPr>
        <w:t>导致产能紧缺有多方面因素，除了扩产不够外，还有疫情、美国打压、提前备货等等原因。目前来看，紧迫的状况还将持续到2021年。</w:t>
      </w:r>
    </w:p>
    <w:p>
      <w:pPr>
        <w:keepNext w:val="0"/>
        <w:keepLines w:val="0"/>
        <w:pageBreakBefore w:val="0"/>
        <w:widowControl/>
        <w:kinsoku/>
        <w:wordWrap/>
        <w:overflowPunct/>
        <w:topLinePunct w:val="0"/>
        <w:autoSpaceDE/>
        <w:autoSpaceDN/>
        <w:bidi w:val="0"/>
        <w:adjustRightInd/>
        <w:snapToGrid/>
        <w:spacing w:line="420" w:lineRule="exact"/>
        <w:ind w:firstLine="480" w:firstLineChars="200"/>
        <w:textAlignment w:val="auto"/>
        <w:rPr>
          <w:rFonts w:cs="Arial" w:asciiTheme="minorEastAsia" w:hAnsiTheme="minorEastAsia"/>
          <w:color w:val="000000"/>
          <w:kern w:val="0"/>
          <w:sz w:val="24"/>
          <w:szCs w:val="24"/>
        </w:rPr>
      </w:pPr>
      <w:r>
        <w:rPr>
          <w:rFonts w:cs="Arial" w:asciiTheme="minorEastAsia" w:hAnsiTheme="minorEastAsia"/>
          <w:color w:val="000000"/>
          <w:kern w:val="0"/>
          <w:sz w:val="24"/>
          <w:szCs w:val="24"/>
        </w:rPr>
        <w:t>展望2021年，TrendForce集邦咨询针对需求端做出三项假设，首先，疫苗效果及副作用仍有不确定性，疫情带来的联网及宅经济需求将维持一定力道；再者，中美贸易摩擦未见转机；最后，全球经济历经2020年的停滞后，预期2021年将有所回温。目前预估各项终端产品包含智能型手机、服务器、笔电、电视、汽车等皆将在2021年有2%~9%不等的正成长，除上述终端产品带动的零组件需求，通讯世代交替，5G基站、WiFi 6布局也会持续发酵，带动相关零组件拉货力道持续。因此，预估2021年晶圆代工产值可望再创新高，年成长近6%。</w:t>
      </w:r>
    </w:p>
    <w:p>
      <w:pPr>
        <w:keepNext w:val="0"/>
        <w:keepLines w:val="0"/>
        <w:pageBreakBefore w:val="0"/>
        <w:widowControl/>
        <w:kinsoku/>
        <w:wordWrap/>
        <w:overflowPunct/>
        <w:topLinePunct w:val="0"/>
        <w:autoSpaceDE/>
        <w:autoSpaceDN/>
        <w:bidi w:val="0"/>
        <w:adjustRightInd/>
        <w:snapToGrid/>
        <w:spacing w:line="420" w:lineRule="exact"/>
        <w:ind w:firstLine="480" w:firstLineChars="200"/>
        <w:textAlignment w:val="auto"/>
        <w:rPr>
          <w:rFonts w:cs="Arial" w:asciiTheme="minorEastAsia" w:hAnsiTheme="minorEastAsia"/>
          <w:color w:val="000000"/>
          <w:kern w:val="0"/>
          <w:sz w:val="24"/>
          <w:szCs w:val="24"/>
        </w:rPr>
      </w:pPr>
      <w:r>
        <w:rPr>
          <w:rFonts w:cs="Arial" w:asciiTheme="minorEastAsia" w:hAnsiTheme="minorEastAsia"/>
          <w:color w:val="000000"/>
          <w:kern w:val="0"/>
          <w:sz w:val="24"/>
          <w:szCs w:val="24"/>
        </w:rPr>
        <w:t>芯谋研究预计，产能不足带来的紧张会传导到2021年，“据说封装厂和制造厂产能已经预定到2021年年中，由此看来短期内产能紧张难以缓解，我们预计2021年上半年产能依然非常紧张，但下半年可能有所缓解。”</w:t>
      </w:r>
    </w:p>
    <w:p>
      <w:pPr>
        <w:keepNext w:val="0"/>
        <w:keepLines w:val="0"/>
        <w:pageBreakBefore w:val="0"/>
        <w:widowControl/>
        <w:kinsoku/>
        <w:wordWrap/>
        <w:overflowPunct/>
        <w:topLinePunct w:val="0"/>
        <w:autoSpaceDE/>
        <w:autoSpaceDN/>
        <w:bidi w:val="0"/>
        <w:adjustRightInd/>
        <w:snapToGrid/>
        <w:spacing w:line="420" w:lineRule="exact"/>
        <w:ind w:firstLine="480" w:firstLineChars="200"/>
        <w:textAlignment w:val="auto"/>
        <w:rPr>
          <w:rFonts w:cs="Arial" w:asciiTheme="minorEastAsia" w:hAnsiTheme="minorEastAsia"/>
          <w:color w:val="000000"/>
          <w:kern w:val="0"/>
          <w:sz w:val="24"/>
          <w:szCs w:val="24"/>
        </w:rPr>
        <w:sectPr>
          <w:type w:val="continuous"/>
          <w:pgSz w:w="11906" w:h="16838"/>
          <w:pgMar w:top="1440" w:right="1800" w:bottom="1440" w:left="1800" w:header="851" w:footer="992" w:gutter="0"/>
          <w:cols w:space="425" w:num="2"/>
          <w:docGrid w:type="lines" w:linePitch="312" w:charSpace="0"/>
        </w:sectPr>
      </w:pPr>
      <w:r>
        <w:rPr>
          <w:rFonts w:cs="Arial" w:asciiTheme="minorEastAsia" w:hAnsiTheme="minorEastAsia"/>
          <w:color w:val="000000"/>
          <w:kern w:val="0"/>
          <w:sz w:val="24"/>
          <w:szCs w:val="24"/>
        </w:rPr>
        <w:t>“预计成熟工艺和8英寸产能依然紧张，尤其是55nm和180nm，除了8英寸产线全都面临紧张局面，12英寸产线的成熟节点也会紧张。同时要关注美国政府的更迭或许对华为策略有所更新，一旦生变，则会给系统制造需求端、自主可控芯片供给侧的走势带来很大影响，”芯谋研究还指出，“国内扩产依然在继续，中芯国际和华虹半导体是中流砥柱，二者分别贡献了超过34%、18%的已有产能。尤其是华虹半导体新增产能发力，贡献了35%的新增产能。此外在新增产能上，联电、粤芯、华润、新芯的力度也很大。”</w:t>
      </w:r>
      <w:r>
        <w:rPr>
          <w:rFonts w:hint="eastAsia" w:cs="Arial" w:asciiTheme="minorEastAsia" w:hAnsiTheme="minorEastAsia"/>
          <w:color w:val="000000"/>
          <w:kern w:val="0"/>
          <w:sz w:val="24"/>
          <w:szCs w:val="24"/>
        </w:rPr>
        <w:t>（21世纪经济报道  01-01）</w:t>
      </w:r>
    </w:p>
    <w:p>
      <w:pPr>
        <w:jc w:val="left"/>
        <w:rPr>
          <w:rFonts w:asciiTheme="minorEastAsia" w:hAnsiTheme="minorEastAsia"/>
          <w:sz w:val="24"/>
          <w:szCs w:val="24"/>
        </w:rPr>
      </w:pPr>
    </w:p>
    <w:p>
      <w:pPr>
        <w:jc w:val="left"/>
        <w:rPr>
          <w:rFonts w:asciiTheme="minorEastAsia" w:hAnsiTheme="minorEastAsia"/>
          <w:sz w:val="24"/>
          <w:szCs w:val="24"/>
        </w:rPr>
      </w:pPr>
    </w:p>
    <w:p>
      <w:pPr>
        <w:jc w:val="center"/>
        <w:rPr>
          <w:rFonts w:hint="eastAsia" w:ascii="楷体_GB2312" w:eastAsia="楷体_GB2312"/>
          <w:b/>
          <w:bCs/>
          <w:sz w:val="36"/>
          <w:szCs w:val="36"/>
        </w:rPr>
      </w:pPr>
    </w:p>
    <w:p>
      <w:pPr>
        <w:rPr>
          <w:rFonts w:hint="eastAsia" w:ascii="楷体_GB2312" w:eastAsia="楷体_GB2312"/>
          <w:b/>
          <w:bCs/>
          <w:sz w:val="36"/>
          <w:szCs w:val="36"/>
        </w:rPr>
      </w:pPr>
      <w:r>
        <w:rPr>
          <w:rFonts w:hint="eastAsia" w:ascii="楷体_GB2312" w:eastAsia="楷体_GB2312"/>
          <w:b/>
          <w:bCs/>
          <w:sz w:val="36"/>
          <w:szCs w:val="36"/>
        </w:rPr>
        <w:br w:type="page"/>
      </w:r>
    </w:p>
    <w:p>
      <w:pPr>
        <w:jc w:val="center"/>
        <w:rPr>
          <w:rFonts w:hint="eastAsia" w:ascii="楷体_GB2312" w:eastAsia="楷体_GB2312"/>
          <w:b/>
          <w:bCs/>
          <w:sz w:val="36"/>
          <w:szCs w:val="36"/>
        </w:rPr>
      </w:pPr>
    </w:p>
    <w:p>
      <w:pPr>
        <w:jc w:val="center"/>
        <w:rPr>
          <w:rFonts w:ascii="楷体_GB2312" w:eastAsia="楷体_GB2312"/>
          <w:b/>
          <w:bCs/>
          <w:sz w:val="36"/>
          <w:szCs w:val="36"/>
        </w:rPr>
      </w:pPr>
      <w:r>
        <w:rPr>
          <w:rFonts w:hint="eastAsia" w:ascii="楷体_GB2312" w:eastAsia="楷体_GB2312"/>
          <w:b/>
          <w:bCs/>
          <w:sz w:val="36"/>
          <w:szCs w:val="36"/>
        </w:rPr>
        <w:t>出口伞状花科种子到澳大利亚将需进口许可证</w:t>
      </w:r>
    </w:p>
    <w:p>
      <w:pPr>
        <w:spacing w:line="440" w:lineRule="exact"/>
        <w:ind w:firstLine="480" w:firstLineChars="200"/>
        <w:rPr>
          <w:rFonts w:asciiTheme="minorEastAsia" w:hAnsiTheme="minorEastAsia"/>
          <w:sz w:val="24"/>
          <w:szCs w:val="24"/>
        </w:rPr>
      </w:pPr>
    </w:p>
    <w:p>
      <w:pPr>
        <w:spacing w:line="440" w:lineRule="exact"/>
        <w:ind w:firstLine="480" w:firstLineChars="200"/>
        <w:rPr>
          <w:rFonts w:asciiTheme="minorEastAsia" w:hAnsiTheme="minorEastAsia"/>
          <w:sz w:val="24"/>
          <w:szCs w:val="24"/>
        </w:rPr>
        <w:sectPr>
          <w:type w:val="continuous"/>
          <w:pgSz w:w="11906" w:h="16838"/>
          <w:pgMar w:top="1440" w:right="1800" w:bottom="1440" w:left="1800" w:header="851" w:footer="992" w:gutter="0"/>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outlineLvl w:val="9"/>
        <w:rPr>
          <w:rFonts w:asciiTheme="minorEastAsia" w:hAnsiTheme="minorEastAsia"/>
          <w:sz w:val="24"/>
          <w:szCs w:val="24"/>
        </w:rPr>
      </w:pPr>
      <w:r>
        <w:rPr>
          <w:rFonts w:hint="eastAsia" w:asciiTheme="minorEastAsia" w:hAnsiTheme="minorEastAsia"/>
          <w:sz w:val="24"/>
          <w:szCs w:val="24"/>
        </w:rPr>
        <w:t>2020年1月5日，澳大利亚向WTO通报了指令草案（G / SPS / N / AUS / 512），对伞状花科（apiaceous）种子的进口新增了进口许可证要求。自2021年3月30日起，澳大利亚农业、水和环境部（下称该部门）将对伞状花科（apiaceous）中有喙欧芹（Anthriscus cerefolium）、旱芹（Apium graveolens）、茴香（Foeniculum vulgare）、欧防风（Pastinaca sativa）和欧芹（Petroselinum crispum）的种子新增进口许可证要求，这些种子是进口供人食用或播种用的。</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outlineLvl w:val="9"/>
        <w:rPr>
          <w:rFonts w:asciiTheme="minorEastAsia" w:hAnsiTheme="minorEastAsia"/>
          <w:sz w:val="24"/>
          <w:szCs w:val="24"/>
        </w:rPr>
      </w:pPr>
      <w:r>
        <w:rPr>
          <w:rFonts w:hint="eastAsia" w:asciiTheme="minorEastAsia" w:hAnsiTheme="minorEastAsia"/>
          <w:sz w:val="24"/>
          <w:szCs w:val="24"/>
        </w:rPr>
        <w:t>新要求将适用于上述物种的所有同类和次级分类科目。2021年3月30日或之后抵澳但没有进口许可证的货物，包括目前正在考虑申请的，将被指示退运或按照批准的方式进行销毁。2021年3月30日之前抵达澳大利亚境内的货物，若无进口许可证，允许入境。（厦门WTO工作站  01-11）</w:t>
      </w:r>
    </w:p>
    <w:p>
      <w:pPr>
        <w:rPr>
          <w:rFonts w:cs="Times New Roman" w:asciiTheme="minorEastAsia" w:hAnsiTheme="minorEastAsia"/>
          <w:sz w:val="24"/>
          <w:szCs w:val="24"/>
        </w:rPr>
        <w:sectPr>
          <w:type w:val="continuous"/>
          <w:pgSz w:w="11906" w:h="16838"/>
          <w:pgMar w:top="1440" w:right="1800" w:bottom="1440" w:left="1800" w:header="851" w:footer="992" w:gutter="0"/>
          <w:cols w:space="425" w:num="2"/>
          <w:docGrid w:type="lines" w:linePitch="312" w:charSpace="0"/>
        </w:sectPr>
      </w:pPr>
    </w:p>
    <w:p>
      <w:pPr>
        <w:rPr>
          <w:rFonts w:cs="Times New Roman" w:asciiTheme="minorEastAsia" w:hAnsiTheme="minorEastAsia"/>
          <w:sz w:val="24"/>
          <w:szCs w:val="24"/>
        </w:rPr>
      </w:pPr>
    </w:p>
    <w:p>
      <w:pPr>
        <w:rPr>
          <w:rFonts w:cs="Times New Roman" w:asciiTheme="minorEastAsia" w:hAnsiTheme="minorEastAsia"/>
          <w:sz w:val="24"/>
          <w:szCs w:val="24"/>
        </w:rPr>
      </w:pPr>
    </w:p>
    <w:p>
      <w:pPr>
        <w:rPr>
          <w:rFonts w:cs="Times New Roman" w:asciiTheme="minorEastAsia" w:hAnsiTheme="minorEastAsia"/>
          <w:sz w:val="24"/>
          <w:szCs w:val="24"/>
        </w:rPr>
      </w:pPr>
    </w:p>
    <w:p>
      <w:pPr>
        <w:widowControl/>
        <w:shd w:val="clear" w:color="auto" w:fill="FFFFFF"/>
        <w:spacing w:line="360" w:lineRule="atLeast"/>
        <w:jc w:val="center"/>
        <w:rPr>
          <w:rFonts w:ascii="楷体_GB2312" w:hAnsi="宋体" w:eastAsia="楷体_GB2312" w:cs="宋体"/>
          <w:b/>
          <w:bCs w:val="0"/>
          <w:kern w:val="0"/>
          <w:sz w:val="36"/>
          <w:szCs w:val="36"/>
        </w:rPr>
      </w:pPr>
      <w:r>
        <w:rPr>
          <w:rFonts w:hint="eastAsia" w:ascii="楷体_GB2312" w:hAnsi="宋体" w:eastAsia="楷体_GB2312" w:cs="宋体"/>
          <w:b/>
          <w:bCs w:val="0"/>
          <w:kern w:val="0"/>
          <w:sz w:val="36"/>
          <w:szCs w:val="36"/>
        </w:rPr>
        <w:t>加拿大对中国产烧烤点火枪实施召回</w:t>
      </w:r>
    </w:p>
    <w:p>
      <w:pPr>
        <w:widowControl/>
        <w:shd w:val="clear" w:color="auto" w:fill="FFFFFF"/>
        <w:spacing w:line="440" w:lineRule="exact"/>
        <w:ind w:firstLine="480" w:firstLineChars="200"/>
        <w:jc w:val="left"/>
        <w:rPr>
          <w:rFonts w:cs="宋体" w:asciiTheme="minorEastAsia" w:hAnsiTheme="minorEastAsia"/>
          <w:kern w:val="0"/>
          <w:sz w:val="24"/>
          <w:szCs w:val="24"/>
        </w:rPr>
      </w:pPr>
    </w:p>
    <w:p>
      <w:pPr>
        <w:widowControl/>
        <w:shd w:val="clear" w:color="auto" w:fill="FFFFFF"/>
        <w:spacing w:line="440" w:lineRule="exact"/>
        <w:ind w:firstLine="480" w:firstLineChars="200"/>
        <w:jc w:val="left"/>
        <w:rPr>
          <w:rFonts w:cs="宋体" w:asciiTheme="minorEastAsia" w:hAnsiTheme="minorEastAsia"/>
          <w:kern w:val="0"/>
          <w:sz w:val="24"/>
          <w:szCs w:val="24"/>
        </w:rPr>
        <w:sectPr>
          <w:type w:val="continuous"/>
          <w:pgSz w:w="11906" w:h="16838"/>
          <w:pgMar w:top="1440" w:right="1800" w:bottom="1440" w:left="1800" w:header="851" w:footer="992" w:gutter="0"/>
          <w:cols w:space="425" w:num="1"/>
          <w:docGrid w:type="lines" w:linePitch="312" w:charSpace="0"/>
        </w:sectPr>
      </w:pPr>
    </w:p>
    <w:p>
      <w:pPr>
        <w:keepNext w:val="0"/>
        <w:keepLines w:val="0"/>
        <w:pageBreakBefore w:val="0"/>
        <w:widowControl/>
        <w:shd w:val="clear" w:color="auto" w:fill="FFFFFF"/>
        <w:kinsoku/>
        <w:wordWrap/>
        <w:overflowPunct/>
        <w:topLinePunct w:val="0"/>
        <w:autoSpaceDE/>
        <w:autoSpaceDN/>
        <w:bidi w:val="0"/>
        <w:adjustRightInd/>
        <w:snapToGrid/>
        <w:spacing w:line="420" w:lineRule="exact"/>
        <w:ind w:firstLine="480" w:firstLineChars="200"/>
        <w:jc w:val="left"/>
        <w:textAlignment w:val="auto"/>
        <w:outlineLvl w:val="9"/>
        <w:rPr>
          <w:rFonts w:cs="宋体" w:asciiTheme="minorEastAsia" w:hAnsiTheme="minorEastAsia"/>
          <w:kern w:val="0"/>
          <w:sz w:val="24"/>
          <w:szCs w:val="24"/>
        </w:rPr>
      </w:pPr>
      <w:r>
        <w:rPr>
          <w:rFonts w:hint="eastAsia" w:cs="宋体" w:asciiTheme="minorEastAsia" w:hAnsiTheme="minorEastAsia"/>
          <w:kern w:val="0"/>
          <w:sz w:val="24"/>
          <w:szCs w:val="24"/>
        </w:rPr>
        <w:t>2021年1月11日，加拿大卫生部对中国产烧烤点火枪实施召回。</w:t>
      </w:r>
    </w:p>
    <w:p>
      <w:pPr>
        <w:keepNext w:val="0"/>
        <w:keepLines w:val="0"/>
        <w:pageBreakBefore w:val="0"/>
        <w:widowControl/>
        <w:shd w:val="clear" w:color="auto" w:fill="FFFFFF"/>
        <w:kinsoku/>
        <w:wordWrap/>
        <w:overflowPunct/>
        <w:topLinePunct w:val="0"/>
        <w:autoSpaceDE/>
        <w:autoSpaceDN/>
        <w:bidi w:val="0"/>
        <w:adjustRightInd/>
        <w:snapToGrid/>
        <w:spacing w:line="420" w:lineRule="exact"/>
        <w:ind w:firstLine="480" w:firstLineChars="200"/>
        <w:jc w:val="left"/>
        <w:textAlignment w:val="auto"/>
        <w:outlineLvl w:val="9"/>
        <w:rPr>
          <w:rFonts w:cs="宋体" w:asciiTheme="minorEastAsia" w:hAnsiTheme="minorEastAsia"/>
          <w:kern w:val="0"/>
          <w:sz w:val="24"/>
          <w:szCs w:val="24"/>
        </w:rPr>
      </w:pPr>
      <w:r>
        <w:rPr>
          <w:rFonts w:hint="eastAsia" w:cs="宋体" w:asciiTheme="minorEastAsia" w:hAnsiTheme="minorEastAsia"/>
          <w:kern w:val="0"/>
          <w:sz w:val="24"/>
          <w:szCs w:val="24"/>
        </w:rPr>
        <w:t>此次召回产品为GrillBlazer制造销售的Su-VGun和GrillGun丙烷喷枪，用于烧烤。Su-VGun为黑色，印有黄色“Su-VGun”，尺寸为14.5*8*2英寸；GrillGun为黑色，印有黄色“GrillGun”，尺寸为21*8*2英寸。</w:t>
      </w:r>
    </w:p>
    <w:p>
      <w:pPr>
        <w:keepNext w:val="0"/>
        <w:keepLines w:val="0"/>
        <w:pageBreakBefore w:val="0"/>
        <w:widowControl/>
        <w:shd w:val="clear" w:color="auto" w:fill="FFFFFF"/>
        <w:kinsoku/>
        <w:wordWrap/>
        <w:overflowPunct/>
        <w:topLinePunct w:val="0"/>
        <w:autoSpaceDE/>
        <w:autoSpaceDN/>
        <w:bidi w:val="0"/>
        <w:adjustRightInd/>
        <w:snapToGrid/>
        <w:spacing w:line="420" w:lineRule="exact"/>
        <w:ind w:firstLine="480" w:firstLineChars="200"/>
        <w:jc w:val="left"/>
        <w:textAlignment w:val="auto"/>
        <w:outlineLvl w:val="9"/>
        <w:rPr>
          <w:rFonts w:cs="宋体" w:asciiTheme="minorEastAsia" w:hAnsiTheme="minorEastAsia"/>
          <w:kern w:val="0"/>
          <w:sz w:val="24"/>
          <w:szCs w:val="24"/>
        </w:rPr>
      </w:pPr>
      <w:r>
        <w:rPr>
          <w:rFonts w:hint="eastAsia" w:cs="宋体" w:asciiTheme="minorEastAsia" w:hAnsiTheme="minorEastAsia"/>
          <w:kern w:val="0"/>
          <w:sz w:val="24"/>
          <w:szCs w:val="24"/>
        </w:rPr>
        <w:t>丙烷气体会从点火枪中泄漏，有造成消费者烧伤的危险。</w:t>
      </w:r>
    </w:p>
    <w:p>
      <w:pPr>
        <w:keepNext w:val="0"/>
        <w:keepLines w:val="0"/>
        <w:pageBreakBefore w:val="0"/>
        <w:widowControl/>
        <w:shd w:val="clear" w:color="auto" w:fill="FFFFFF"/>
        <w:kinsoku/>
        <w:wordWrap/>
        <w:overflowPunct/>
        <w:topLinePunct w:val="0"/>
        <w:autoSpaceDE/>
        <w:autoSpaceDN/>
        <w:bidi w:val="0"/>
        <w:adjustRightInd/>
        <w:snapToGrid/>
        <w:spacing w:line="420" w:lineRule="exact"/>
        <w:ind w:firstLine="480" w:firstLineChars="200"/>
        <w:jc w:val="left"/>
        <w:textAlignment w:val="auto"/>
        <w:outlineLvl w:val="9"/>
        <w:rPr>
          <w:rFonts w:cs="宋体" w:asciiTheme="minorEastAsia" w:hAnsiTheme="minorEastAsia"/>
          <w:kern w:val="0"/>
          <w:sz w:val="24"/>
          <w:szCs w:val="24"/>
        </w:rPr>
      </w:pPr>
      <w:r>
        <w:rPr>
          <w:rFonts w:hint="eastAsia" w:cs="宋体" w:asciiTheme="minorEastAsia" w:hAnsiTheme="minorEastAsia"/>
          <w:kern w:val="0"/>
          <w:sz w:val="24"/>
          <w:szCs w:val="24"/>
        </w:rPr>
        <w:t>该产品于2019年12月-2020年7月在加拿大销售，此次召回涉及加拿大约450个。</w:t>
      </w:r>
    </w:p>
    <w:p>
      <w:pPr>
        <w:keepNext w:val="0"/>
        <w:keepLines w:val="0"/>
        <w:pageBreakBefore w:val="0"/>
        <w:widowControl/>
        <w:shd w:val="clear" w:color="auto" w:fill="FFFFFF"/>
        <w:kinsoku/>
        <w:wordWrap/>
        <w:overflowPunct/>
        <w:topLinePunct w:val="0"/>
        <w:autoSpaceDE/>
        <w:autoSpaceDN/>
        <w:bidi w:val="0"/>
        <w:adjustRightInd/>
        <w:snapToGrid/>
        <w:spacing w:line="420" w:lineRule="exact"/>
        <w:ind w:firstLine="480" w:firstLineChars="200"/>
        <w:jc w:val="left"/>
        <w:textAlignment w:val="auto"/>
        <w:outlineLvl w:val="9"/>
        <w:rPr>
          <w:rFonts w:cs="宋体" w:asciiTheme="minorEastAsia" w:hAnsiTheme="minorEastAsia"/>
          <w:kern w:val="0"/>
          <w:sz w:val="24"/>
          <w:szCs w:val="24"/>
        </w:rPr>
      </w:pPr>
      <w:r>
        <w:rPr>
          <w:rFonts w:hint="eastAsia" w:cs="宋体" w:asciiTheme="minorEastAsia" w:hAnsiTheme="minorEastAsia"/>
          <w:kern w:val="0"/>
          <w:sz w:val="24"/>
          <w:szCs w:val="24"/>
        </w:rPr>
        <w:t>截止至2020年12月23日，收到33起丙烷泄漏的报告，未有人员伤亡的报告。</w:t>
      </w:r>
    </w:p>
    <w:p>
      <w:pPr>
        <w:keepNext w:val="0"/>
        <w:keepLines w:val="0"/>
        <w:pageBreakBefore w:val="0"/>
        <w:widowControl/>
        <w:shd w:val="clear" w:color="auto" w:fill="FFFFFF"/>
        <w:kinsoku/>
        <w:wordWrap/>
        <w:overflowPunct/>
        <w:topLinePunct w:val="0"/>
        <w:autoSpaceDE/>
        <w:autoSpaceDN/>
        <w:bidi w:val="0"/>
        <w:adjustRightInd/>
        <w:snapToGrid/>
        <w:spacing w:line="420" w:lineRule="exact"/>
        <w:ind w:firstLine="480" w:firstLineChars="200"/>
        <w:jc w:val="left"/>
        <w:textAlignment w:val="auto"/>
        <w:outlineLvl w:val="9"/>
        <w:rPr>
          <w:rFonts w:cs="宋体" w:asciiTheme="minorEastAsia" w:hAnsiTheme="minorEastAsia"/>
          <w:kern w:val="0"/>
          <w:sz w:val="24"/>
          <w:szCs w:val="24"/>
        </w:rPr>
      </w:pPr>
      <w:r>
        <w:rPr>
          <w:rFonts w:hint="eastAsia" w:cs="宋体" w:asciiTheme="minorEastAsia" w:hAnsiTheme="minorEastAsia"/>
          <w:kern w:val="0"/>
          <w:sz w:val="24"/>
          <w:szCs w:val="24"/>
        </w:rPr>
        <w:t>加拿大卫生部建议消费者立即停止使用该产品，并联系GrillBlazer以获得免费维修。</w:t>
      </w:r>
    </w:p>
    <w:p>
      <w:pPr>
        <w:keepNext w:val="0"/>
        <w:keepLines w:val="0"/>
        <w:pageBreakBefore w:val="0"/>
        <w:widowControl/>
        <w:shd w:val="clear" w:color="auto" w:fill="FFFFFF"/>
        <w:kinsoku/>
        <w:wordWrap/>
        <w:overflowPunct/>
        <w:topLinePunct w:val="0"/>
        <w:autoSpaceDE/>
        <w:autoSpaceDN/>
        <w:bidi w:val="0"/>
        <w:adjustRightInd/>
        <w:snapToGrid/>
        <w:spacing w:line="420" w:lineRule="exact"/>
        <w:ind w:firstLine="480" w:firstLineChars="200"/>
        <w:jc w:val="left"/>
        <w:textAlignment w:val="auto"/>
        <w:outlineLvl w:val="9"/>
        <w:rPr>
          <w:rFonts w:cs="宋体" w:asciiTheme="minorEastAsia" w:hAnsiTheme="minorEastAsia"/>
          <w:kern w:val="0"/>
          <w:sz w:val="24"/>
          <w:szCs w:val="24"/>
        </w:rPr>
      </w:pPr>
      <w:r>
        <w:rPr>
          <w:rFonts w:hint="eastAsia" w:cs="宋体" w:asciiTheme="minorEastAsia" w:hAnsiTheme="minorEastAsia"/>
          <w:kern w:val="0"/>
          <w:sz w:val="24"/>
          <w:szCs w:val="24"/>
        </w:rPr>
        <w:t>在2020年12月9日，美国CPSC已对该款产品实施召回。（厦门WTO工作站 01-13）</w:t>
      </w:r>
    </w:p>
    <w:p>
      <w:pPr>
        <w:rPr>
          <w:rFonts w:cs="Times New Roman" w:asciiTheme="minorEastAsia" w:hAnsiTheme="minorEastAsia"/>
          <w:sz w:val="24"/>
          <w:szCs w:val="24"/>
        </w:rPr>
        <w:sectPr>
          <w:type w:val="continuous"/>
          <w:pgSz w:w="11906" w:h="16838"/>
          <w:pgMar w:top="1440" w:right="1800" w:bottom="1440" w:left="1800" w:header="851" w:footer="992" w:gutter="0"/>
          <w:cols w:space="425" w:num="2"/>
          <w:docGrid w:type="lines" w:linePitch="312" w:charSpace="0"/>
        </w:sectPr>
      </w:pPr>
    </w:p>
    <w:p>
      <w:pPr>
        <w:rPr>
          <w:rFonts w:hint="eastAsia" w:ascii="华文彩云" w:eastAsia="华文彩云"/>
          <w:b/>
          <w:sz w:val="36"/>
          <w:szCs w:val="36"/>
        </w:rPr>
      </w:pPr>
    </w:p>
    <w:p>
      <w:pPr>
        <w:spacing w:line="440" w:lineRule="exact"/>
        <w:jc w:val="left"/>
        <w:rPr>
          <w:rFonts w:hint="eastAsia" w:ascii="华文彩云" w:eastAsia="华文彩云"/>
          <w:b/>
          <w:sz w:val="36"/>
          <w:szCs w:val="36"/>
        </w:rPr>
      </w:pPr>
    </w:p>
    <w:p>
      <w:pPr>
        <w:spacing w:line="440" w:lineRule="exact"/>
        <w:jc w:val="left"/>
        <w:rPr>
          <w:rFonts w:ascii="华文彩云" w:eastAsia="华文彩云"/>
          <w:b/>
          <w:sz w:val="36"/>
          <w:szCs w:val="36"/>
        </w:rPr>
      </w:pPr>
      <w:r>
        <w:rPr>
          <w:rFonts w:hint="eastAsia" w:ascii="华文彩云" w:eastAsia="华文彩云"/>
          <w:b/>
          <w:sz w:val="36"/>
          <w:szCs w:val="36"/>
        </w:rPr>
        <w:t>◎会员风采</w:t>
      </w:r>
    </w:p>
    <w:p>
      <w:pPr>
        <w:spacing w:line="440" w:lineRule="exact"/>
        <w:ind w:firstLine="480"/>
        <w:jc w:val="center"/>
        <w:rPr>
          <w:rFonts w:ascii="华文细黑" w:hAnsi="华文细黑" w:eastAsia="华文细黑" w:cs="Times New Roman"/>
          <w:sz w:val="28"/>
          <w:szCs w:val="28"/>
        </w:rPr>
      </w:pPr>
    </w:p>
    <w:p>
      <w:pPr>
        <w:spacing w:line="440" w:lineRule="exact"/>
        <w:ind w:firstLine="480"/>
        <w:jc w:val="center"/>
        <w:rPr>
          <w:rFonts w:hint="eastAsia" w:ascii="华文细黑" w:hAnsi="华文细黑" w:eastAsia="华文细黑" w:cs="Times New Roman"/>
          <w:sz w:val="28"/>
          <w:szCs w:val="28"/>
        </w:rPr>
      </w:pPr>
    </w:p>
    <w:p>
      <w:pPr>
        <w:spacing w:line="440" w:lineRule="exact"/>
        <w:ind w:firstLine="480"/>
        <w:jc w:val="center"/>
        <w:rPr>
          <w:rFonts w:ascii="华文细黑" w:hAnsi="华文细黑" w:eastAsia="华文细黑" w:cs="Times New Roman"/>
          <w:sz w:val="28"/>
          <w:szCs w:val="28"/>
        </w:rPr>
      </w:pPr>
      <w:r>
        <w:rPr>
          <w:rFonts w:hint="eastAsia" w:ascii="华文细黑" w:hAnsi="华文细黑" w:eastAsia="华文细黑" w:cs="Times New Roman"/>
          <w:sz w:val="28"/>
          <w:szCs w:val="28"/>
        </w:rPr>
        <w:t>创新赋能　垂直突围</w:t>
      </w:r>
    </w:p>
    <w:p>
      <w:pPr>
        <w:spacing w:line="440" w:lineRule="exact"/>
        <w:ind w:firstLine="480"/>
        <w:jc w:val="center"/>
        <w:rPr>
          <w:rFonts w:ascii="楷体_GB2312" w:eastAsia="楷体_GB2312" w:cs="Times New Roman" w:hAnsiTheme="minorEastAsia"/>
          <w:b/>
          <w:bCs/>
          <w:sz w:val="36"/>
          <w:szCs w:val="36"/>
        </w:rPr>
      </w:pPr>
      <w:r>
        <w:rPr>
          <w:rFonts w:hint="eastAsia" w:ascii="楷体_GB2312" w:eastAsia="楷体_GB2312" w:cs="Times New Roman" w:hAnsiTheme="minorEastAsia"/>
          <w:b/>
          <w:bCs/>
          <w:sz w:val="36"/>
          <w:szCs w:val="36"/>
        </w:rPr>
        <w:t>宁波外贸平台重整行囊再出发</w:t>
      </w:r>
    </w:p>
    <w:p>
      <w:pPr>
        <w:spacing w:line="440" w:lineRule="exact"/>
        <w:ind w:firstLine="480" w:firstLineChars="200"/>
        <w:jc w:val="left"/>
        <w:rPr>
          <w:rFonts w:cs="Times New Roman" w:asciiTheme="minorEastAsia" w:hAnsiTheme="minorEastAsia"/>
          <w:sz w:val="24"/>
          <w:szCs w:val="24"/>
        </w:rPr>
      </w:pPr>
    </w:p>
    <w:p>
      <w:pPr>
        <w:spacing w:line="440" w:lineRule="exact"/>
        <w:ind w:firstLine="480" w:firstLineChars="200"/>
        <w:jc w:val="left"/>
        <w:rPr>
          <w:rFonts w:cs="Times New Roman" w:asciiTheme="minorEastAsia" w:hAnsiTheme="minorEastAsia"/>
          <w:sz w:val="24"/>
          <w:szCs w:val="24"/>
        </w:rPr>
        <w:sectPr>
          <w:type w:val="continuous"/>
          <w:pgSz w:w="11906" w:h="16838"/>
          <w:pgMar w:top="1440" w:right="1800" w:bottom="1440" w:left="1800" w:header="851" w:footer="992" w:gutter="0"/>
          <w:cols w:space="425" w:num="1"/>
          <w:docGrid w:type="lines" w:linePitch="312" w:charSpace="0"/>
        </w:sectPr>
      </w:pPr>
    </w:p>
    <w:p>
      <w:pPr>
        <w:spacing w:line="440" w:lineRule="exact"/>
        <w:ind w:firstLine="480" w:firstLineChars="200"/>
        <w:jc w:val="left"/>
        <w:rPr>
          <w:rFonts w:cs="Times New Roman" w:asciiTheme="minorEastAsia" w:hAnsiTheme="minorEastAsia"/>
          <w:sz w:val="24"/>
          <w:szCs w:val="24"/>
        </w:rPr>
      </w:pPr>
      <w:r>
        <w:rPr>
          <w:rFonts w:hint="eastAsia" w:cs="Times New Roman" w:asciiTheme="minorEastAsia" w:hAnsiTheme="minorEastAsia"/>
          <w:sz w:val="24"/>
          <w:szCs w:val="24"/>
        </w:rPr>
        <w:t>外贸，归根结底，比拼的是对跨境资源的整合能力。</w:t>
      </w:r>
    </w:p>
    <w:p>
      <w:pPr>
        <w:spacing w:line="440" w:lineRule="exact"/>
        <w:ind w:firstLine="480" w:firstLineChars="200"/>
        <w:jc w:val="left"/>
        <w:rPr>
          <w:rFonts w:cs="Times New Roman" w:asciiTheme="minorEastAsia" w:hAnsiTheme="minorEastAsia"/>
          <w:sz w:val="24"/>
          <w:szCs w:val="24"/>
        </w:rPr>
      </w:pPr>
      <w:r>
        <w:rPr>
          <w:rFonts w:hint="eastAsia" w:cs="Times New Roman" w:asciiTheme="minorEastAsia" w:hAnsiTheme="minorEastAsia"/>
          <w:sz w:val="24"/>
          <w:szCs w:val="24"/>
        </w:rPr>
        <w:t>百年未有之大变局下，宁波外贸紧盯市场需求，瞄准赛道冲锋，在一场场实战中积累经验值，在一次次爬坡中实现换装升级，真正形成反应快速，且具迭代能力的梯队集团军。</w:t>
      </w:r>
    </w:p>
    <w:p>
      <w:pPr>
        <w:spacing w:line="440" w:lineRule="exact"/>
        <w:ind w:firstLine="480" w:firstLineChars="200"/>
        <w:jc w:val="left"/>
        <w:rPr>
          <w:rFonts w:cs="Times New Roman" w:asciiTheme="minorEastAsia" w:hAnsiTheme="minorEastAsia"/>
          <w:sz w:val="24"/>
          <w:szCs w:val="24"/>
        </w:rPr>
      </w:pPr>
      <w:r>
        <w:rPr>
          <w:rFonts w:hint="eastAsia" w:cs="Times New Roman" w:asciiTheme="minorEastAsia" w:hAnsiTheme="minorEastAsia"/>
          <w:sz w:val="24"/>
          <w:szCs w:val="24"/>
        </w:rPr>
        <w:t>在省商务厅公布的2020年度37家省级外贸综合服务示范企业中，我市共有世贸通、中基宁波集团等15家企业上榜，“甬家军”占比超四成，继续以绝对优势领跑全省。</w:t>
      </w:r>
    </w:p>
    <w:p>
      <w:pPr>
        <w:spacing w:line="440" w:lineRule="exact"/>
        <w:ind w:firstLine="480" w:firstLineChars="200"/>
        <w:jc w:val="left"/>
        <w:rPr>
          <w:rFonts w:cs="Times New Roman" w:asciiTheme="minorEastAsia" w:hAnsiTheme="minorEastAsia"/>
          <w:sz w:val="24"/>
          <w:szCs w:val="24"/>
        </w:rPr>
      </w:pPr>
      <w:r>
        <w:rPr>
          <w:rFonts w:hint="eastAsia" w:cs="Times New Roman" w:asciiTheme="minorEastAsia" w:hAnsiTheme="minorEastAsia"/>
          <w:sz w:val="24"/>
          <w:szCs w:val="24"/>
        </w:rPr>
        <w:t>聚是一团火，散是满天星。在这些外贸综合服务平台型企业背后，有着全市2万多家有进出口实绩的外贸企业，以及上下游产业链4万多家工厂。进入发展新阶段，所有的经济单位无疑将重新定位。宁波外贸平台正重整行囊，带领“千军万马”于变局中开新局。</w:t>
      </w:r>
    </w:p>
    <w:p>
      <w:pPr>
        <w:spacing w:line="440" w:lineRule="exact"/>
        <w:ind w:firstLine="480" w:firstLineChars="200"/>
        <w:jc w:val="left"/>
        <w:rPr>
          <w:rFonts w:cs="Times New Roman" w:asciiTheme="minorEastAsia" w:hAnsiTheme="minorEastAsia"/>
          <w:sz w:val="24"/>
          <w:szCs w:val="24"/>
        </w:rPr>
      </w:pPr>
      <w:r>
        <w:rPr>
          <w:rFonts w:hint="eastAsia" w:cs="Times New Roman" w:asciiTheme="minorEastAsia" w:hAnsiTheme="minorEastAsia"/>
          <w:sz w:val="24"/>
          <w:szCs w:val="24"/>
        </w:rPr>
        <w:t>左手流量，右手创新</w:t>
      </w:r>
    </w:p>
    <w:p>
      <w:pPr>
        <w:spacing w:line="440" w:lineRule="exact"/>
        <w:ind w:firstLine="480" w:firstLineChars="200"/>
        <w:jc w:val="left"/>
        <w:rPr>
          <w:rFonts w:cs="Times New Roman" w:asciiTheme="minorEastAsia" w:hAnsiTheme="minorEastAsia"/>
          <w:sz w:val="24"/>
          <w:szCs w:val="24"/>
        </w:rPr>
      </w:pPr>
      <w:r>
        <w:rPr>
          <w:rFonts w:hint="eastAsia" w:cs="Times New Roman" w:asciiTheme="minorEastAsia" w:hAnsiTheme="minorEastAsia"/>
          <w:sz w:val="24"/>
          <w:szCs w:val="24"/>
        </w:rPr>
        <w:t>“外综平台发展，离不开两个关键词，流量、创新。”拿着最新的年度数据，世贸通副总经理孔泽昊感慨，两个主题同频共振，相辅相成。</w:t>
      </w:r>
    </w:p>
    <w:p>
      <w:pPr>
        <w:spacing w:line="440" w:lineRule="exact"/>
        <w:ind w:firstLine="480" w:firstLineChars="200"/>
        <w:jc w:val="left"/>
        <w:rPr>
          <w:rFonts w:cs="Times New Roman" w:asciiTheme="minorEastAsia" w:hAnsiTheme="minorEastAsia"/>
          <w:sz w:val="24"/>
          <w:szCs w:val="24"/>
        </w:rPr>
      </w:pPr>
      <w:r>
        <w:rPr>
          <w:rFonts w:hint="eastAsia" w:cs="Times New Roman" w:asciiTheme="minorEastAsia" w:hAnsiTheme="minorEastAsia"/>
          <w:sz w:val="24"/>
          <w:szCs w:val="24"/>
        </w:rPr>
        <w:t>过去的2020年，对所有行业而言都是冲击劲猛的一年。但当人们阅读过往，就会发现：我们虽无法从它造成的局面中撤退，却大可将这局面置于更广阔的背景下，思考更多的应对措施。</w:t>
      </w:r>
    </w:p>
    <w:p>
      <w:pPr>
        <w:spacing w:line="440" w:lineRule="exact"/>
        <w:ind w:firstLine="480" w:firstLineChars="200"/>
        <w:jc w:val="left"/>
        <w:rPr>
          <w:rFonts w:cs="Times New Roman" w:asciiTheme="minorEastAsia" w:hAnsiTheme="minorEastAsia"/>
          <w:sz w:val="24"/>
          <w:szCs w:val="24"/>
        </w:rPr>
      </w:pPr>
      <w:r>
        <w:rPr>
          <w:rFonts w:hint="eastAsia" w:cs="Times New Roman" w:asciiTheme="minorEastAsia" w:hAnsiTheme="minorEastAsia"/>
          <w:sz w:val="24"/>
          <w:szCs w:val="24"/>
        </w:rPr>
        <w:t>以世贸通为例，去年，平台共实现进出口额9亿美元，同比增长10%，累计服务中小微外贸企业1.5万余家。其中年进出口额在500万美元以上的只有5家企业，面对风口、变局，对于中小微外贸企业来说转型并非易事。</w:t>
      </w:r>
    </w:p>
    <w:p>
      <w:pPr>
        <w:spacing w:line="440" w:lineRule="exact"/>
        <w:ind w:firstLine="480" w:firstLineChars="200"/>
        <w:jc w:val="left"/>
        <w:rPr>
          <w:rFonts w:cs="Times New Roman" w:asciiTheme="minorEastAsia" w:hAnsiTheme="minorEastAsia"/>
          <w:sz w:val="24"/>
          <w:szCs w:val="24"/>
        </w:rPr>
      </w:pPr>
      <w:r>
        <w:rPr>
          <w:rFonts w:hint="eastAsia" w:cs="Times New Roman" w:asciiTheme="minorEastAsia" w:hAnsiTheme="minorEastAsia"/>
          <w:sz w:val="24"/>
          <w:szCs w:val="24"/>
        </w:rPr>
        <w:t>疫情之下，宅经济产品销售火爆，再搭载上跨境电商，行情更是“热得发烫”。这是外贸圈中人所共知的。去年，世贸通实现跨境出口1.2亿美元，同比增长135%，绝大多数是跨境出口海外仓业务。其中共服务跨境客户400余家，珠三角占比40%，省内30%，引流挖掘作用明显，主要类目是家居、医疗及健身器械、3C电子、玩具等。</w:t>
      </w:r>
    </w:p>
    <w:p>
      <w:pPr>
        <w:spacing w:line="440" w:lineRule="exact"/>
        <w:ind w:firstLine="480" w:firstLineChars="200"/>
        <w:jc w:val="left"/>
        <w:rPr>
          <w:rFonts w:cs="Times New Roman" w:asciiTheme="minorEastAsia" w:hAnsiTheme="minorEastAsia"/>
          <w:sz w:val="24"/>
          <w:szCs w:val="24"/>
        </w:rPr>
      </w:pPr>
      <w:r>
        <w:rPr>
          <w:rFonts w:hint="eastAsia" w:cs="Times New Roman" w:asciiTheme="minorEastAsia" w:hAnsiTheme="minorEastAsia"/>
          <w:sz w:val="24"/>
          <w:szCs w:val="24"/>
        </w:rPr>
        <w:t>400之于1.5万的基数，微乎其微。“过于小的企业根本没能力转。”</w:t>
      </w:r>
    </w:p>
    <w:p>
      <w:pPr>
        <w:spacing w:line="440" w:lineRule="exact"/>
        <w:ind w:firstLine="480" w:firstLineChars="200"/>
        <w:jc w:val="left"/>
        <w:rPr>
          <w:rFonts w:cs="Times New Roman" w:asciiTheme="minorEastAsia" w:hAnsiTheme="minorEastAsia"/>
          <w:sz w:val="24"/>
          <w:szCs w:val="24"/>
        </w:rPr>
      </w:pPr>
      <w:r>
        <w:rPr>
          <w:rFonts w:hint="eastAsia" w:cs="Times New Roman" w:asciiTheme="minorEastAsia" w:hAnsiTheme="minorEastAsia"/>
          <w:sz w:val="24"/>
          <w:szCs w:val="24"/>
        </w:rPr>
        <w:t>孔泽昊坦言作为行业的头部企业，世贸通急需运用标准化方法进一步提升平台企业的标准化水平及自身风控级别。</w:t>
      </w:r>
    </w:p>
    <w:p>
      <w:pPr>
        <w:spacing w:line="440" w:lineRule="exact"/>
        <w:ind w:firstLine="480" w:firstLineChars="200"/>
        <w:jc w:val="left"/>
        <w:rPr>
          <w:rFonts w:cs="Times New Roman" w:asciiTheme="minorEastAsia" w:hAnsiTheme="minorEastAsia"/>
          <w:sz w:val="24"/>
          <w:szCs w:val="24"/>
        </w:rPr>
      </w:pPr>
      <w:r>
        <w:rPr>
          <w:rFonts w:hint="eastAsia" w:cs="Times New Roman" w:asciiTheme="minorEastAsia" w:hAnsiTheme="minorEastAsia"/>
          <w:sz w:val="24"/>
          <w:szCs w:val="24"/>
        </w:rPr>
        <w:t>困惑第一时间传达给了政府部门。省标准化研究院专家前来问诊把脉开方，为企业进行全方位的标准化设计与标准化建设，提出构建全省领先的外贸及跨境电商综合平台标准体系。</w:t>
      </w:r>
    </w:p>
    <w:p>
      <w:pPr>
        <w:spacing w:line="440" w:lineRule="exact"/>
        <w:ind w:firstLine="480" w:firstLineChars="200"/>
        <w:jc w:val="left"/>
        <w:rPr>
          <w:rFonts w:cs="Times New Roman" w:asciiTheme="minorEastAsia" w:hAnsiTheme="minorEastAsia"/>
          <w:sz w:val="24"/>
          <w:szCs w:val="24"/>
        </w:rPr>
      </w:pPr>
      <w:r>
        <w:rPr>
          <w:rFonts w:hint="eastAsia" w:cs="Times New Roman" w:asciiTheme="minorEastAsia" w:hAnsiTheme="minorEastAsia"/>
          <w:sz w:val="24"/>
          <w:szCs w:val="24"/>
        </w:rPr>
        <w:t>由此，世贸通获批浙江省外贸及跨境电商综合服务行业首个省级标准化试点项目。据悉，此项目能为平台所服务企业提供信息、物流、通关、保险、金融、会展、海外仓、跨境电商、检验检测、人才对接、创意设计、培训孵化等12项一站式全方位“高标准”服务。</w:t>
      </w:r>
    </w:p>
    <w:p>
      <w:pPr>
        <w:spacing w:line="440" w:lineRule="exact"/>
        <w:ind w:firstLine="480" w:firstLineChars="200"/>
        <w:jc w:val="left"/>
        <w:rPr>
          <w:rFonts w:cs="Times New Roman" w:asciiTheme="minorEastAsia" w:hAnsiTheme="minorEastAsia"/>
          <w:sz w:val="24"/>
          <w:szCs w:val="24"/>
        </w:rPr>
      </w:pPr>
      <w:r>
        <w:rPr>
          <w:rFonts w:hint="eastAsia" w:cs="Times New Roman" w:asciiTheme="minorEastAsia" w:hAnsiTheme="minorEastAsia"/>
          <w:sz w:val="24"/>
          <w:szCs w:val="24"/>
        </w:rPr>
        <w:t>从试点项目出发，世贸通也被各方寄予厚望，希望通过“标准化＋”赋能，进一步提升外贸综合平台在全省行业内的标准话语权，有效增强企业的核心竞争力，抢占行业发展先机，为外综服务行业高质量发展提供宁波样本。</w:t>
      </w:r>
    </w:p>
    <w:p>
      <w:pPr>
        <w:spacing w:line="440" w:lineRule="exact"/>
        <w:ind w:firstLine="480" w:firstLineChars="200"/>
        <w:jc w:val="left"/>
        <w:rPr>
          <w:rFonts w:cs="Times New Roman" w:asciiTheme="minorEastAsia" w:hAnsiTheme="minorEastAsia"/>
          <w:sz w:val="24"/>
          <w:szCs w:val="24"/>
        </w:rPr>
      </w:pPr>
      <w:r>
        <w:rPr>
          <w:rFonts w:hint="eastAsia" w:cs="Times New Roman" w:asciiTheme="minorEastAsia" w:hAnsiTheme="minorEastAsia"/>
          <w:sz w:val="24"/>
          <w:szCs w:val="24"/>
        </w:rPr>
        <w:t>孔泽昊表示，下阶段，世贸通将着力在平台2.0系统打造、信保EDI数据深化对接、金融服务产品开发、公共海外仓布局等方面加大创新力度，继续优化平台建设。</w:t>
      </w:r>
    </w:p>
    <w:p>
      <w:pPr>
        <w:spacing w:line="440" w:lineRule="exact"/>
        <w:ind w:firstLine="480" w:firstLineChars="200"/>
        <w:jc w:val="left"/>
        <w:rPr>
          <w:rFonts w:cs="Times New Roman" w:asciiTheme="minorEastAsia" w:hAnsiTheme="minorEastAsia"/>
          <w:sz w:val="24"/>
          <w:szCs w:val="24"/>
        </w:rPr>
      </w:pPr>
      <w:r>
        <w:rPr>
          <w:rFonts w:hint="eastAsia" w:cs="Times New Roman" w:asciiTheme="minorEastAsia" w:hAnsiTheme="minorEastAsia"/>
          <w:sz w:val="24"/>
          <w:szCs w:val="24"/>
        </w:rPr>
        <w:t>另辟蹊径，垂直突围</w:t>
      </w:r>
    </w:p>
    <w:p>
      <w:pPr>
        <w:spacing w:line="440" w:lineRule="exact"/>
        <w:ind w:firstLine="480" w:firstLineChars="200"/>
        <w:jc w:val="left"/>
        <w:rPr>
          <w:rFonts w:cs="Times New Roman" w:asciiTheme="minorEastAsia" w:hAnsiTheme="minorEastAsia"/>
          <w:sz w:val="24"/>
          <w:szCs w:val="24"/>
        </w:rPr>
      </w:pPr>
      <w:r>
        <w:rPr>
          <w:rFonts w:hint="eastAsia" w:cs="Times New Roman" w:asciiTheme="minorEastAsia" w:hAnsiTheme="minorEastAsia"/>
          <w:sz w:val="24"/>
          <w:szCs w:val="24"/>
        </w:rPr>
        <w:t>乍听到外贸综合服务企业宁化通的名字，估计不少老外贸人心里会飘过个问号，但是如果说到它的母公司，中宁化集团，那基本就是无人不晓。</w:t>
      </w:r>
    </w:p>
    <w:p>
      <w:pPr>
        <w:spacing w:line="440" w:lineRule="exact"/>
        <w:ind w:firstLine="480" w:firstLineChars="200"/>
        <w:jc w:val="left"/>
        <w:rPr>
          <w:rFonts w:cs="Times New Roman" w:asciiTheme="minorEastAsia" w:hAnsiTheme="minorEastAsia"/>
          <w:sz w:val="24"/>
          <w:szCs w:val="24"/>
        </w:rPr>
      </w:pPr>
      <w:r>
        <w:rPr>
          <w:rFonts w:hint="eastAsia" w:cs="Times New Roman" w:asciiTheme="minorEastAsia" w:hAnsiTheme="minorEastAsia"/>
          <w:sz w:val="24"/>
          <w:szCs w:val="24"/>
        </w:rPr>
        <w:t>中宁化集团有限公司成立于1987年，前身为宁波市化工医保进出口公司，之后历经三次体制改革，逐步形成以医药、农化、制冷及相关化工产品为主营业务，科工贸一体化的进出口集团公司。</w:t>
      </w:r>
    </w:p>
    <w:p>
      <w:pPr>
        <w:spacing w:line="440" w:lineRule="exact"/>
        <w:ind w:firstLine="480" w:firstLineChars="200"/>
        <w:jc w:val="left"/>
        <w:rPr>
          <w:rFonts w:cs="Times New Roman" w:asciiTheme="minorEastAsia" w:hAnsiTheme="minorEastAsia"/>
          <w:sz w:val="24"/>
          <w:szCs w:val="24"/>
        </w:rPr>
      </w:pPr>
      <w:r>
        <w:rPr>
          <w:rFonts w:hint="eastAsia" w:cs="Times New Roman" w:asciiTheme="minorEastAsia" w:hAnsiTheme="minorEastAsia"/>
          <w:sz w:val="24"/>
          <w:szCs w:val="24"/>
        </w:rPr>
        <w:t>作为中国民营企业500强，中宁化不仅是宁波外贸的头部企业，更是各类经济盘点榜单中的常客。2018年公司设立宁化通外贸综合服务平台，尝试探索新型业务领域。2020年，宁化通平台被省商务厅评为外贸综合服务成长型企业。</w:t>
      </w:r>
    </w:p>
    <w:p>
      <w:pPr>
        <w:spacing w:line="440" w:lineRule="exact"/>
        <w:ind w:firstLine="480" w:firstLineChars="200"/>
        <w:jc w:val="left"/>
        <w:rPr>
          <w:rFonts w:cs="Times New Roman" w:asciiTheme="minorEastAsia" w:hAnsiTheme="minorEastAsia"/>
          <w:sz w:val="24"/>
          <w:szCs w:val="24"/>
        </w:rPr>
      </w:pPr>
      <w:r>
        <w:rPr>
          <w:rFonts w:hint="eastAsia" w:cs="Times New Roman" w:asciiTheme="minorEastAsia" w:hAnsiTheme="minorEastAsia"/>
          <w:sz w:val="24"/>
          <w:szCs w:val="24"/>
        </w:rPr>
        <w:t>去年11月，在第三届进博会上，宁化通曾小试牛刀，与罗马尼亚企业“VIRIX PROD S.R.L.”达成了榉木的采购进口意向订单。宁化通总经理陈忠玉告诉记者，作为中宁化旗下的外贸综合服务平台，宁化通从事的业务涵盖化工、纺织、五金、医疗及建材等多方面。“对本土企业来说，进出口并重，可以让企业更好地取长补短，加速融入‘双循环’，从而更快走向世界。”</w:t>
      </w:r>
    </w:p>
    <w:p>
      <w:pPr>
        <w:spacing w:line="440" w:lineRule="exact"/>
        <w:ind w:firstLine="480" w:firstLineChars="200"/>
        <w:jc w:val="left"/>
        <w:rPr>
          <w:rFonts w:cs="Times New Roman" w:asciiTheme="minorEastAsia" w:hAnsiTheme="minorEastAsia"/>
          <w:sz w:val="24"/>
          <w:szCs w:val="24"/>
        </w:rPr>
      </w:pPr>
      <w:r>
        <w:rPr>
          <w:rFonts w:hint="eastAsia" w:cs="Times New Roman" w:asciiTheme="minorEastAsia" w:hAnsiTheme="minorEastAsia"/>
          <w:sz w:val="24"/>
          <w:szCs w:val="24"/>
        </w:rPr>
        <w:t>陈忠玉告诉记者，下一步，宁化通将重点打造跨境电商综合外贸服务平台，积极开展自营跨境销售业务和跨境电商平台建设。“目前，中小微企业做跨境电商，流动资金占用比较大，我们可以利用中宁化资本公司的优势，对有潜力的跨境电商团队提供有条件的流动资金融资服务，同时我们也可以直接投资，最近已经收购了几个跨境电商的团队。”陈忠玉说，宁化通希望在跨境电商领域，提供跨境电商专业化运行、合规咨询、跨境电商金融、物流海外仓等方面服务，整合人才高地、支付平台、网络平台和法律平台，打造出独具特色的综合服务平台。</w:t>
      </w:r>
    </w:p>
    <w:p>
      <w:pPr>
        <w:spacing w:line="440" w:lineRule="exact"/>
        <w:ind w:firstLine="480" w:firstLineChars="200"/>
        <w:jc w:val="left"/>
        <w:rPr>
          <w:rFonts w:cs="Times New Roman" w:asciiTheme="minorEastAsia" w:hAnsiTheme="minorEastAsia"/>
          <w:sz w:val="24"/>
          <w:szCs w:val="24"/>
        </w:rPr>
      </w:pPr>
      <w:r>
        <w:rPr>
          <w:rFonts w:hint="eastAsia" w:cs="Times New Roman" w:asciiTheme="minorEastAsia" w:hAnsiTheme="minorEastAsia"/>
          <w:sz w:val="24"/>
          <w:szCs w:val="24"/>
        </w:rPr>
        <w:t>显然，作为外综平台的“后来者”，宁化通及其背后的中宁化集团希望瞄准市场空白处，结合自身优势，另辟蹊径、逆势突围。</w:t>
      </w:r>
    </w:p>
    <w:p>
      <w:pPr>
        <w:spacing w:line="440" w:lineRule="exact"/>
        <w:ind w:firstLine="480" w:firstLineChars="200"/>
        <w:jc w:val="left"/>
        <w:rPr>
          <w:rFonts w:cs="Times New Roman" w:asciiTheme="minorEastAsia" w:hAnsiTheme="minorEastAsia"/>
          <w:sz w:val="24"/>
          <w:szCs w:val="24"/>
        </w:rPr>
      </w:pPr>
      <w:r>
        <w:rPr>
          <w:rFonts w:hint="eastAsia" w:cs="Times New Roman" w:asciiTheme="minorEastAsia" w:hAnsiTheme="minorEastAsia"/>
          <w:sz w:val="24"/>
          <w:szCs w:val="24"/>
        </w:rPr>
        <w:t>“以中东欧为例，近年来，宁波与中东欧的经贸关系不断升温。三个‘首选之地’的目标街知巷闻。但是双方的进出口贸易依旧存在很大提升空间。”中宁化集团董事长单孟春介绍，比如当下中国市场上的中东欧商品品种不多、消费不旺，价格也没有竞争力，对中东欧商品税收优惠力度不大。“我们就想做个中东欧进口商品服务平台，把17+1贸易中的各个头部企业组合起来，形成中东欧采购联盟，利用好宁波的独特优势，进入平台，统一标准、质量、规模，把宁波的中东欧蛋糕进一步做大。”</w:t>
      </w:r>
    </w:p>
    <w:p>
      <w:pPr>
        <w:spacing w:line="440" w:lineRule="exact"/>
        <w:ind w:firstLine="480" w:firstLineChars="200"/>
        <w:jc w:val="left"/>
        <w:rPr>
          <w:rFonts w:cs="Times New Roman" w:asciiTheme="minorEastAsia" w:hAnsiTheme="minorEastAsia"/>
          <w:sz w:val="24"/>
          <w:szCs w:val="24"/>
        </w:rPr>
      </w:pPr>
      <w:r>
        <w:rPr>
          <w:rFonts w:hint="eastAsia" w:cs="Times New Roman" w:asciiTheme="minorEastAsia" w:hAnsiTheme="minorEastAsia"/>
          <w:sz w:val="24"/>
          <w:szCs w:val="24"/>
        </w:rPr>
        <w:t>长袖善舞，多管齐下</w:t>
      </w:r>
    </w:p>
    <w:p>
      <w:pPr>
        <w:spacing w:line="440" w:lineRule="exact"/>
        <w:ind w:firstLine="480" w:firstLineChars="200"/>
        <w:jc w:val="left"/>
        <w:rPr>
          <w:rFonts w:cs="Times New Roman" w:asciiTheme="minorEastAsia" w:hAnsiTheme="minorEastAsia"/>
          <w:sz w:val="24"/>
          <w:szCs w:val="24"/>
        </w:rPr>
      </w:pPr>
      <w:r>
        <w:rPr>
          <w:rFonts w:hint="eastAsia" w:cs="Times New Roman" w:asciiTheme="minorEastAsia" w:hAnsiTheme="minorEastAsia"/>
          <w:sz w:val="24"/>
          <w:szCs w:val="24"/>
        </w:rPr>
        <w:t>外综平台的江湖上，风云人物辈出，他们各有擅长的兵法、招数和武器，让人眼花缭乱。</w:t>
      </w:r>
    </w:p>
    <w:p>
      <w:pPr>
        <w:spacing w:line="440" w:lineRule="exact"/>
        <w:ind w:firstLine="480" w:firstLineChars="200"/>
        <w:jc w:val="left"/>
        <w:rPr>
          <w:rFonts w:cs="Times New Roman" w:asciiTheme="minorEastAsia" w:hAnsiTheme="minorEastAsia"/>
          <w:sz w:val="24"/>
          <w:szCs w:val="24"/>
        </w:rPr>
      </w:pPr>
      <w:r>
        <w:rPr>
          <w:rFonts w:hint="eastAsia" w:cs="Times New Roman" w:asciiTheme="minorEastAsia" w:hAnsiTheme="minorEastAsia"/>
          <w:sz w:val="24"/>
          <w:szCs w:val="24"/>
        </w:rPr>
        <w:t>不过，不管形势怎么变，近年来，中基宁波集团始终稳做外贸一哥。它旗下的中基惠通通过线上线下结合的外综服务平台，为上万家中小外贸企业提供通关、外汇、信保、物流、退税和融资等一站式服务。</w:t>
      </w:r>
    </w:p>
    <w:p>
      <w:pPr>
        <w:spacing w:line="440" w:lineRule="exact"/>
        <w:ind w:firstLine="480" w:firstLineChars="200"/>
        <w:jc w:val="left"/>
        <w:rPr>
          <w:rFonts w:cs="Times New Roman" w:asciiTheme="minorEastAsia" w:hAnsiTheme="minorEastAsia"/>
          <w:sz w:val="24"/>
          <w:szCs w:val="24"/>
        </w:rPr>
      </w:pPr>
      <w:r>
        <w:rPr>
          <w:rFonts w:hint="eastAsia" w:cs="Times New Roman" w:asciiTheme="minorEastAsia" w:hAnsiTheme="minorEastAsia"/>
          <w:sz w:val="24"/>
          <w:szCs w:val="24"/>
        </w:rPr>
        <w:t>“我们有专业的跨境电商运营团队，也有与国际大型平台和仓储物流公司的长期合作基础，现在公司正在加快整合国内外优势资源，以‘外综平台+跨境电商’相互促进、联动发展的新格局帮助外贸企业拓展海外市场，带动中小企业共同发展。”中基宁波集团董事长周巨乐说。</w:t>
      </w:r>
    </w:p>
    <w:p>
      <w:pPr>
        <w:spacing w:line="440" w:lineRule="exact"/>
        <w:ind w:firstLine="480" w:firstLineChars="200"/>
        <w:jc w:val="left"/>
        <w:rPr>
          <w:rFonts w:cs="Times New Roman" w:asciiTheme="minorEastAsia" w:hAnsiTheme="minorEastAsia"/>
          <w:sz w:val="24"/>
          <w:szCs w:val="24"/>
        </w:rPr>
      </w:pPr>
      <w:r>
        <w:rPr>
          <w:rFonts w:hint="eastAsia" w:cs="Times New Roman" w:asciiTheme="minorEastAsia" w:hAnsiTheme="minorEastAsia"/>
          <w:sz w:val="24"/>
          <w:szCs w:val="24"/>
        </w:rPr>
        <w:t>跨境电商风口之下，“老大哥”也在全力奔跑。目前，中基在全球引进了多支跨境电商团队，并在欧美等国家和地区布局了14个海外仓，总面积22万平方米，占全市备案海外仓总面积的十分之一。</w:t>
      </w:r>
    </w:p>
    <w:p>
      <w:pPr>
        <w:spacing w:line="440" w:lineRule="exact"/>
        <w:ind w:firstLine="480" w:firstLineChars="200"/>
        <w:jc w:val="left"/>
        <w:rPr>
          <w:rFonts w:cs="Times New Roman" w:asciiTheme="minorEastAsia" w:hAnsiTheme="minorEastAsia"/>
          <w:sz w:val="24"/>
          <w:szCs w:val="24"/>
        </w:rPr>
      </w:pPr>
      <w:r>
        <w:rPr>
          <w:rFonts w:hint="eastAsia" w:cs="Times New Roman" w:asciiTheme="minorEastAsia" w:hAnsiTheme="minorEastAsia"/>
          <w:sz w:val="24"/>
          <w:szCs w:val="24"/>
        </w:rPr>
        <w:t>针对广大中小微外贸企业普遍面临的“融资难、融资贵”，中基也敢为人先，携手中信银行，大力创新金融服务模式，合作推出基于外综平台“小微企业外贸e贷”金融服务。中基惠通平台以专业的经营团队、成熟的运营模式和完善的风控体系，一手牵起银行，一手牵起平台近万家中小微企业，为银行把好风控第一关，同时也把资金精准、高效、安全地落实到中小企业实际需求上。</w:t>
      </w:r>
    </w:p>
    <w:p>
      <w:pPr>
        <w:spacing w:line="440" w:lineRule="exact"/>
        <w:ind w:firstLine="480" w:firstLineChars="200"/>
        <w:jc w:val="left"/>
        <w:rPr>
          <w:rFonts w:cs="Times New Roman" w:asciiTheme="minorEastAsia" w:hAnsiTheme="minorEastAsia"/>
          <w:sz w:val="24"/>
          <w:szCs w:val="24"/>
        </w:rPr>
      </w:pPr>
      <w:r>
        <w:rPr>
          <w:rFonts w:hint="eastAsia" w:cs="Times New Roman" w:asciiTheme="minorEastAsia" w:hAnsiTheme="minorEastAsia"/>
          <w:sz w:val="24"/>
          <w:szCs w:val="24"/>
        </w:rPr>
        <w:t>未来已来，但不管是浪潮之巅的弄潮儿，还是每一个普普通通的个体，都应该对开放经济的前路坚信不疑，拓展边界、共享信息，开创变局中的新局。</w:t>
      </w:r>
    </w:p>
    <w:p>
      <w:pPr>
        <w:spacing w:line="440" w:lineRule="exact"/>
        <w:ind w:firstLine="480" w:firstLineChars="200"/>
        <w:jc w:val="left"/>
        <w:rPr>
          <w:rFonts w:cs="Times New Roman" w:asciiTheme="minorEastAsia" w:hAnsiTheme="minorEastAsia"/>
          <w:sz w:val="24"/>
          <w:szCs w:val="24"/>
        </w:rPr>
        <w:sectPr>
          <w:type w:val="continuous"/>
          <w:pgSz w:w="11906" w:h="16838"/>
          <w:pgMar w:top="1440" w:right="1800" w:bottom="1440" w:left="1800" w:header="851" w:footer="992" w:gutter="0"/>
          <w:cols w:space="425" w:num="2"/>
          <w:docGrid w:type="lines" w:linePitch="312" w:charSpace="0"/>
        </w:sectPr>
      </w:pPr>
      <w:r>
        <w:rPr>
          <w:rFonts w:hint="eastAsia" w:cs="Times New Roman" w:asciiTheme="minorEastAsia" w:hAnsiTheme="minorEastAsia"/>
          <w:sz w:val="24"/>
          <w:szCs w:val="24"/>
        </w:rPr>
        <w:t>相关市领导对我市各大外贸综合服务平台所取得的成绩表示肯定。同时指出，外综平台企业为我市外贸发展发挥了积极作用，各平台企业可结合自身优势实现差异化竞争，并依托新技术、大数据实现服务产品升级，助力中小微外贸企业、跨境电商从业者更好应对国际贸易新形势。（宁波日报 01-15）</w:t>
      </w:r>
    </w:p>
    <w:p>
      <w:pPr>
        <w:spacing w:line="440" w:lineRule="exact"/>
        <w:ind w:firstLine="480" w:firstLineChars="200"/>
        <w:jc w:val="left"/>
        <w:rPr>
          <w:rFonts w:cs="Times New Roman" w:asciiTheme="minorEastAsia" w:hAnsiTheme="minorEastAsia"/>
          <w:sz w:val="24"/>
          <w:szCs w:val="24"/>
        </w:rPr>
      </w:pPr>
    </w:p>
    <w:p>
      <w:pPr>
        <w:rPr>
          <w:rFonts w:asciiTheme="minorEastAsia" w:hAnsiTheme="minorEastAsia"/>
          <w:sz w:val="24"/>
          <w:szCs w:val="24"/>
        </w:rPr>
      </w:pPr>
    </w:p>
    <w:p>
      <w:pPr>
        <w:rPr>
          <w:rFonts w:asciiTheme="minorEastAsia" w:hAnsiTheme="minorEastAsia"/>
          <w:sz w:val="24"/>
          <w:szCs w:val="24"/>
        </w:rPr>
      </w:pPr>
    </w:p>
    <w:p>
      <w:pPr>
        <w:jc w:val="center"/>
        <w:rPr>
          <w:rFonts w:ascii="楷体_GB2312" w:eastAsia="楷体_GB2312" w:hAnsiTheme="minorEastAsia"/>
          <w:b/>
          <w:bCs/>
          <w:sz w:val="36"/>
          <w:szCs w:val="36"/>
        </w:rPr>
      </w:pPr>
      <w:r>
        <w:rPr>
          <w:rFonts w:hint="eastAsia" w:ascii="楷体_GB2312" w:eastAsia="楷体_GB2312" w:hAnsiTheme="minorEastAsia"/>
          <w:b/>
          <w:bCs/>
          <w:sz w:val="36"/>
          <w:szCs w:val="36"/>
        </w:rPr>
        <w:t>环保大趋势下纺织企业的可持续发展</w:t>
      </w:r>
    </w:p>
    <w:p>
      <w:pPr>
        <w:rPr>
          <w:rFonts w:asciiTheme="minorEastAsia" w:hAnsiTheme="minorEastAsia"/>
          <w:sz w:val="24"/>
          <w:szCs w:val="24"/>
        </w:rPr>
      </w:pPr>
    </w:p>
    <w:p>
      <w:pPr>
        <w:pStyle w:val="7"/>
        <w:spacing w:beforeAutospacing="0" w:afterAutospacing="0" w:line="440" w:lineRule="exact"/>
        <w:ind w:firstLine="480" w:firstLineChars="200"/>
        <w:rPr>
          <w:rFonts w:asciiTheme="minorEastAsia" w:hAnsiTheme="minorEastAsia"/>
        </w:rPr>
        <w:sectPr>
          <w:type w:val="continuous"/>
          <w:pgSz w:w="11906" w:h="16838"/>
          <w:pgMar w:top="1440" w:right="1800" w:bottom="1440" w:left="1800" w:header="851" w:footer="992" w:gutter="0"/>
          <w:cols w:space="425" w:num="1"/>
          <w:docGrid w:type="lines" w:linePitch="312" w:charSpace="0"/>
        </w:sectPr>
      </w:pPr>
    </w:p>
    <w:p>
      <w:pPr>
        <w:pStyle w:val="7"/>
        <w:spacing w:beforeAutospacing="0" w:afterAutospacing="0" w:line="440" w:lineRule="exact"/>
        <w:ind w:firstLine="480" w:firstLineChars="200"/>
        <w:rPr>
          <w:rFonts w:asciiTheme="minorEastAsia" w:hAnsiTheme="minorEastAsia"/>
        </w:rPr>
      </w:pPr>
      <w:r>
        <w:rPr>
          <w:rFonts w:asciiTheme="minorEastAsia" w:hAnsiTheme="minorEastAsia"/>
        </w:rPr>
        <w:t>自上世纪90年代起，我国纺织服装生产及出口数量已位居世界</w:t>
      </w:r>
      <w:r>
        <w:rPr>
          <w:rFonts w:hint="eastAsia" w:asciiTheme="minorEastAsia" w:hAnsiTheme="minorEastAsia"/>
        </w:rPr>
        <w:t>前列</w:t>
      </w:r>
      <w:r>
        <w:rPr>
          <w:rFonts w:asciiTheme="minorEastAsia" w:hAnsiTheme="minorEastAsia"/>
        </w:rPr>
        <w:t>，纺织服装行业的兴起在经济与民生发展中起到了重要的作用，但污染问题也随之而来。</w:t>
      </w:r>
      <w:r>
        <w:rPr>
          <w:rFonts w:hint="eastAsia" w:asciiTheme="minorEastAsia" w:hAnsiTheme="minorEastAsia"/>
        </w:rPr>
        <w:t>纺织行业是使用化学品最密集的行业之一，要达到</w:t>
      </w:r>
      <w:r>
        <w:rPr>
          <w:rFonts w:asciiTheme="minorEastAsia" w:hAnsiTheme="minorEastAsia"/>
        </w:rPr>
        <w:t>我们所需</w:t>
      </w:r>
      <w:r>
        <w:rPr>
          <w:rFonts w:hint="eastAsia" w:asciiTheme="minorEastAsia" w:hAnsiTheme="minorEastAsia"/>
        </w:rPr>
        <w:t>服装</w:t>
      </w:r>
      <w:r>
        <w:rPr>
          <w:rFonts w:asciiTheme="minorEastAsia" w:hAnsiTheme="minorEastAsia"/>
        </w:rPr>
        <w:t>的外</w:t>
      </w:r>
      <w:r>
        <w:rPr>
          <w:rFonts w:hint="eastAsia" w:asciiTheme="minorEastAsia" w:hAnsiTheme="minorEastAsia"/>
        </w:rPr>
        <w:t>观</w:t>
      </w:r>
      <w:r>
        <w:rPr>
          <w:rFonts w:asciiTheme="minorEastAsia" w:hAnsiTheme="minorEastAsia"/>
        </w:rPr>
        <w:t>、手感</w:t>
      </w:r>
      <w:r>
        <w:rPr>
          <w:rFonts w:hint="eastAsia" w:asciiTheme="minorEastAsia" w:hAnsiTheme="minorEastAsia"/>
        </w:rPr>
        <w:t>和风格，要使用</w:t>
      </w:r>
      <w:r>
        <w:rPr>
          <w:rFonts w:asciiTheme="minorEastAsia" w:hAnsiTheme="minorEastAsia"/>
        </w:rPr>
        <w:t>超过四十</w:t>
      </w:r>
      <w:r>
        <w:rPr>
          <w:rFonts w:hint="eastAsia" w:asciiTheme="minorEastAsia" w:hAnsiTheme="minorEastAsia"/>
        </w:rPr>
        <w:t>种</w:t>
      </w:r>
      <w:r>
        <w:rPr>
          <w:rFonts w:asciiTheme="minorEastAsia" w:hAnsiTheme="minorEastAsia"/>
        </w:rPr>
        <w:t>不同类别的化学品</w:t>
      </w:r>
      <w:r>
        <w:rPr>
          <w:rFonts w:hint="eastAsia" w:asciiTheme="minorEastAsia" w:hAnsiTheme="minorEastAsia"/>
        </w:rPr>
        <w:t>。据2</w:t>
      </w:r>
      <w:r>
        <w:rPr>
          <w:rFonts w:asciiTheme="minorEastAsia" w:hAnsiTheme="minorEastAsia"/>
        </w:rPr>
        <w:t>018</w:t>
      </w:r>
      <w:r>
        <w:rPr>
          <w:rFonts w:hint="eastAsia" w:asciiTheme="minorEastAsia" w:hAnsiTheme="minorEastAsia"/>
        </w:rPr>
        <w:t>年数据显示</w:t>
      </w:r>
      <w:r>
        <w:rPr>
          <w:rFonts w:asciiTheme="minorEastAsia" w:hAnsiTheme="minorEastAsia"/>
        </w:rPr>
        <w:t>，纺织服装行业</w:t>
      </w:r>
      <w:r>
        <w:rPr>
          <w:rFonts w:hint="eastAsia" w:asciiTheme="minorEastAsia" w:hAnsiTheme="minorEastAsia"/>
        </w:rPr>
        <w:t>已</w:t>
      </w:r>
      <w:r>
        <w:rPr>
          <w:rFonts w:asciiTheme="minorEastAsia" w:hAnsiTheme="minorEastAsia"/>
        </w:rPr>
        <w:t>是污染最严重的行业之一，每年二氧化碳排放量超过170万吨，产生9000万吨</w:t>
      </w:r>
      <w:r>
        <w:rPr>
          <w:rFonts w:hint="eastAsia" w:asciiTheme="minorEastAsia" w:hAnsiTheme="minorEastAsia"/>
        </w:rPr>
        <w:t>废弃</w:t>
      </w:r>
      <w:r>
        <w:rPr>
          <w:rFonts w:asciiTheme="minorEastAsia" w:hAnsiTheme="minorEastAsia"/>
        </w:rPr>
        <w:t>物，其中只有20%被回收利用</w:t>
      </w:r>
      <w:r>
        <w:rPr>
          <w:rFonts w:hint="eastAsia" w:asciiTheme="minorEastAsia" w:hAnsiTheme="minorEastAsia"/>
          <w:vertAlign w:val="superscript"/>
        </w:rPr>
        <w:t>1</w:t>
      </w:r>
      <w:r>
        <w:rPr>
          <w:rFonts w:hint="eastAsia" w:asciiTheme="minorEastAsia" w:hAnsiTheme="minorEastAsia"/>
        </w:rPr>
        <w:t>。纺织行业对生态环境的</w:t>
      </w:r>
      <w:r>
        <w:rPr>
          <w:rFonts w:asciiTheme="minorEastAsia" w:hAnsiTheme="minorEastAsia"/>
        </w:rPr>
        <w:t>影响</w:t>
      </w:r>
      <w:r>
        <w:rPr>
          <w:rFonts w:hint="eastAsia" w:asciiTheme="minorEastAsia" w:hAnsiTheme="minorEastAsia"/>
        </w:rPr>
        <w:t>已引起了全球广泛关注。</w:t>
      </w:r>
    </w:p>
    <w:p>
      <w:pPr>
        <w:pStyle w:val="7"/>
        <w:spacing w:beforeAutospacing="0" w:afterAutospacing="0" w:line="440" w:lineRule="exact"/>
        <w:ind w:firstLine="480" w:firstLineChars="200"/>
        <w:rPr>
          <w:rFonts w:asciiTheme="minorEastAsia" w:hAnsiTheme="minorEastAsia"/>
        </w:rPr>
      </w:pPr>
      <w:r>
        <w:rPr>
          <w:rFonts w:hint="eastAsia" w:asciiTheme="minorEastAsia" w:hAnsiTheme="minorEastAsia"/>
        </w:rPr>
        <w:t>我国政府对纺织行业环保的要求逐年提高。例如，</w:t>
      </w:r>
      <w:r>
        <w:rPr>
          <w:rFonts w:asciiTheme="minorEastAsia" w:hAnsiTheme="minorEastAsia"/>
        </w:rPr>
        <w:t>工信部发布《印染行业规范条件(2017年版)》，提出多项举措促进印染行业结构调整和转型升级。</w:t>
      </w:r>
      <w:r>
        <w:rPr>
          <w:rFonts w:hint="eastAsia" w:asciiTheme="minorEastAsia" w:hAnsiTheme="minorEastAsia"/>
        </w:rPr>
        <w:t>如规范</w:t>
      </w:r>
      <w:r>
        <w:rPr>
          <w:rFonts w:asciiTheme="minorEastAsia" w:hAnsiTheme="minorEastAsia"/>
        </w:rPr>
        <w:t>企业布局</w:t>
      </w:r>
      <w:r>
        <w:rPr>
          <w:rFonts w:hint="eastAsia" w:asciiTheme="minorEastAsia" w:hAnsiTheme="minorEastAsia"/>
        </w:rPr>
        <w:t>，</w:t>
      </w:r>
      <w:r>
        <w:rPr>
          <w:rFonts w:asciiTheme="minorEastAsia" w:hAnsiTheme="minorEastAsia"/>
        </w:rPr>
        <w:t>自然保护区和主要河流两岸</w:t>
      </w:r>
      <w:r>
        <w:rPr>
          <w:rFonts w:hint="eastAsia" w:asciiTheme="minorEastAsia" w:hAnsiTheme="minorEastAsia"/>
        </w:rPr>
        <w:t>等</w:t>
      </w:r>
      <w:r>
        <w:rPr>
          <w:rFonts w:asciiTheme="minorEastAsia" w:hAnsiTheme="minorEastAsia"/>
        </w:rPr>
        <w:t>不得新建印染项目，已建项目需关闭、搬迁或转产。</w:t>
      </w:r>
      <w:r>
        <w:rPr>
          <w:rFonts w:hint="eastAsia" w:asciiTheme="minorEastAsia" w:hAnsiTheme="minorEastAsia"/>
        </w:rPr>
        <w:t>并向</w:t>
      </w:r>
      <w:r>
        <w:rPr>
          <w:rFonts w:asciiTheme="minorEastAsia" w:hAnsiTheme="minorEastAsia"/>
        </w:rPr>
        <w:t>工业园区内集中建设，园区外企业搬迁入园</w:t>
      </w:r>
      <w:r>
        <w:rPr>
          <w:rFonts w:hint="eastAsia" w:asciiTheme="minorEastAsia" w:hAnsiTheme="minorEastAsia"/>
        </w:rPr>
        <w:t>。</w:t>
      </w:r>
      <w:r>
        <w:rPr>
          <w:rFonts w:asciiTheme="minorEastAsia" w:hAnsiTheme="minorEastAsia"/>
        </w:rPr>
        <w:t>能耗及用水量需达到规定</w:t>
      </w:r>
      <w:r>
        <w:rPr>
          <w:rFonts w:hint="eastAsia" w:asciiTheme="minorEastAsia" w:hAnsiTheme="minorEastAsia"/>
        </w:rPr>
        <w:t>，并</w:t>
      </w:r>
      <w:r>
        <w:rPr>
          <w:rFonts w:asciiTheme="minorEastAsia" w:hAnsiTheme="minorEastAsia"/>
        </w:rPr>
        <w:t>达标排放，</w:t>
      </w:r>
      <w:r>
        <w:rPr>
          <w:rFonts w:hint="eastAsia" w:asciiTheme="minorEastAsia" w:hAnsiTheme="minorEastAsia"/>
        </w:rPr>
        <w:t>提高</w:t>
      </w:r>
      <w:r>
        <w:rPr>
          <w:rFonts w:asciiTheme="minorEastAsia" w:hAnsiTheme="minorEastAsia"/>
        </w:rPr>
        <w:t>水重复利用</w:t>
      </w:r>
      <w:r>
        <w:rPr>
          <w:rFonts w:hint="eastAsia" w:asciiTheme="minorEastAsia" w:hAnsiTheme="minorEastAsia"/>
        </w:rPr>
        <w:t>率</w:t>
      </w:r>
      <w:r>
        <w:rPr>
          <w:rFonts w:asciiTheme="minorEastAsia" w:hAnsiTheme="minorEastAsia"/>
        </w:rPr>
        <w:t>。</w:t>
      </w:r>
    </w:p>
    <w:p>
      <w:pPr>
        <w:pStyle w:val="7"/>
        <w:spacing w:beforeAutospacing="0" w:afterAutospacing="0" w:line="440" w:lineRule="exact"/>
        <w:ind w:firstLine="480" w:firstLineChars="200"/>
        <w:rPr>
          <w:rFonts w:asciiTheme="minorEastAsia" w:hAnsiTheme="minorEastAsia"/>
        </w:rPr>
      </w:pPr>
      <w:r>
        <w:rPr>
          <w:rFonts w:hint="eastAsia" w:asciiTheme="minorEastAsia" w:hAnsiTheme="minorEastAsia"/>
        </w:rPr>
        <w:t>同时，监管力度也日益加强，中</w:t>
      </w:r>
      <w:r>
        <w:rPr>
          <w:rFonts w:asciiTheme="minorEastAsia" w:hAnsiTheme="minorEastAsia"/>
        </w:rPr>
        <w:t>央环保督察向地方政府和企业都发出强烈的信号</w:t>
      </w:r>
      <w:r>
        <w:rPr>
          <w:rFonts w:hint="eastAsia" w:asciiTheme="minorEastAsia" w:hAnsiTheme="minorEastAsia"/>
        </w:rPr>
        <w:t>，</w:t>
      </w:r>
      <w:r>
        <w:rPr>
          <w:rFonts w:asciiTheme="minorEastAsia" w:hAnsiTheme="minorEastAsia"/>
        </w:rPr>
        <w:t>高消耗、高污染的路再也走不通了，必须转型</w:t>
      </w:r>
      <w:r>
        <w:rPr>
          <w:rFonts w:hint="eastAsia" w:asciiTheme="minorEastAsia" w:hAnsiTheme="minorEastAsia"/>
        </w:rPr>
        <w:t>：一要</w:t>
      </w:r>
      <w:r>
        <w:rPr>
          <w:rFonts w:asciiTheme="minorEastAsia" w:hAnsiTheme="minorEastAsia"/>
        </w:rPr>
        <w:t>查处关停生产工艺落后、高耗能、高污染的企业</w:t>
      </w:r>
      <w:r>
        <w:rPr>
          <w:rFonts w:hint="eastAsia" w:asciiTheme="minorEastAsia" w:hAnsiTheme="minorEastAsia"/>
        </w:rPr>
        <w:t>；二</w:t>
      </w:r>
      <w:r>
        <w:rPr>
          <w:rFonts w:asciiTheme="minorEastAsia" w:hAnsiTheme="minorEastAsia"/>
        </w:rPr>
        <w:t>重点企业增加治污投入，强化技改创新，加快推进节能减排和转型升级</w:t>
      </w:r>
      <w:r>
        <w:rPr>
          <w:rFonts w:hint="eastAsia" w:asciiTheme="minorEastAsia" w:hAnsiTheme="minorEastAsia"/>
        </w:rPr>
        <w:t>。各纺织重镇的地方</w:t>
      </w:r>
      <w:r>
        <w:rPr>
          <w:rFonts w:asciiTheme="minorEastAsia" w:hAnsiTheme="minorEastAsia"/>
        </w:rPr>
        <w:t>政府也纷纷</w:t>
      </w:r>
      <w:r>
        <w:rPr>
          <w:rFonts w:hint="eastAsia" w:asciiTheme="minorEastAsia" w:hAnsiTheme="minorEastAsia"/>
        </w:rPr>
        <w:t>响应</w:t>
      </w:r>
      <w:r>
        <w:rPr>
          <w:rFonts w:asciiTheme="minorEastAsia" w:hAnsiTheme="minorEastAsia"/>
        </w:rPr>
        <w:t>，</w:t>
      </w:r>
      <w:r>
        <w:rPr>
          <w:rFonts w:hint="eastAsia" w:asciiTheme="minorEastAsia" w:hAnsiTheme="minorEastAsia"/>
        </w:rPr>
        <w:t>重拳整治</w:t>
      </w:r>
      <w:r>
        <w:rPr>
          <w:rFonts w:asciiTheme="minorEastAsia" w:hAnsiTheme="minorEastAsia"/>
        </w:rPr>
        <w:t>落后</w:t>
      </w:r>
      <w:r>
        <w:rPr>
          <w:rFonts w:hint="eastAsia" w:asciiTheme="minorEastAsia" w:hAnsiTheme="minorEastAsia"/>
        </w:rPr>
        <w:t>、污染的印染</w:t>
      </w:r>
      <w:r>
        <w:rPr>
          <w:rFonts w:asciiTheme="minorEastAsia" w:hAnsiTheme="minorEastAsia"/>
        </w:rPr>
        <w:t>产能</w:t>
      </w:r>
      <w:r>
        <w:rPr>
          <w:rFonts w:hint="eastAsia" w:asciiTheme="minorEastAsia" w:hAnsiTheme="minorEastAsia"/>
        </w:rPr>
        <w:t>，放弃</w:t>
      </w:r>
      <w:r>
        <w:rPr>
          <w:rFonts w:asciiTheme="minorEastAsia" w:hAnsiTheme="minorEastAsia"/>
        </w:rPr>
        <w:t>短期的</w:t>
      </w:r>
      <w:r>
        <w:rPr>
          <w:rFonts w:hint="eastAsia" w:asciiTheme="minorEastAsia" w:hAnsiTheme="minorEastAsia"/>
        </w:rPr>
        <w:t>经济</w:t>
      </w:r>
      <w:r>
        <w:rPr>
          <w:rFonts w:asciiTheme="minorEastAsia" w:hAnsiTheme="minorEastAsia"/>
        </w:rPr>
        <w:t>利益，</w:t>
      </w:r>
      <w:r>
        <w:rPr>
          <w:rFonts w:hint="eastAsia" w:asciiTheme="minorEastAsia" w:hAnsiTheme="minorEastAsia"/>
        </w:rPr>
        <w:t>着眼</w:t>
      </w:r>
      <w:r>
        <w:rPr>
          <w:rFonts w:asciiTheme="minorEastAsia" w:hAnsiTheme="minorEastAsia"/>
        </w:rPr>
        <w:t>未来，</w:t>
      </w:r>
      <w:r>
        <w:rPr>
          <w:rFonts w:hint="eastAsia" w:asciiTheme="minorEastAsia" w:hAnsiTheme="minorEastAsia"/>
        </w:rPr>
        <w:t>改变高能耗，高排放的现状</w:t>
      </w:r>
      <w:r>
        <w:rPr>
          <w:rFonts w:asciiTheme="minorEastAsia" w:hAnsiTheme="minorEastAsia"/>
        </w:rPr>
        <w:t>，还绿水青山</w:t>
      </w:r>
      <w:r>
        <w:rPr>
          <w:rFonts w:hint="eastAsia" w:asciiTheme="minorEastAsia" w:hAnsiTheme="minorEastAsia"/>
        </w:rPr>
        <w:t>于民</w:t>
      </w:r>
      <w:r>
        <w:rPr>
          <w:rFonts w:asciiTheme="minorEastAsia" w:hAnsiTheme="minorEastAsia"/>
        </w:rPr>
        <w:t>。</w:t>
      </w:r>
    </w:p>
    <w:p>
      <w:pPr>
        <w:pStyle w:val="7"/>
        <w:spacing w:beforeAutospacing="0" w:afterAutospacing="0" w:line="440" w:lineRule="exact"/>
        <w:ind w:firstLine="480" w:firstLineChars="200"/>
        <w:rPr>
          <w:rFonts w:asciiTheme="minorEastAsia" w:hAnsiTheme="minorEastAsia"/>
        </w:rPr>
      </w:pPr>
      <w:r>
        <w:rPr>
          <w:rFonts w:hint="eastAsia" w:asciiTheme="minorEastAsia" w:hAnsiTheme="minorEastAsia"/>
        </w:rPr>
        <w:t>在欧美国家，许多非政府组织也在不断探讨相关解决方案。2</w:t>
      </w:r>
      <w:r>
        <w:rPr>
          <w:rFonts w:asciiTheme="minorEastAsia" w:hAnsiTheme="minorEastAsia"/>
        </w:rPr>
        <w:t>011</w:t>
      </w:r>
      <w:r>
        <w:rPr>
          <w:rFonts w:hint="eastAsia" w:asciiTheme="minorEastAsia" w:hAnsiTheme="minorEastAsia"/>
        </w:rPr>
        <w:t>年，有害物质零排放组织(ZDHC)成立，，由其最初的六个缔约品牌承诺实施有害物质零排放路线图以逐步淘汰有害物质而成立。该组织的愿景是在纺织、服装、皮革和鞋类行业广泛地执行可持续化学品，推动创新和最佳优良实践以保护消费者、工人和环境；工作主要是通过在业内创建并执行各项指南和解决方案，以促进价值链的转型。该组织</w:t>
      </w:r>
      <w:r>
        <w:rPr>
          <w:rFonts w:asciiTheme="minorEastAsia" w:hAnsiTheme="minorEastAsia"/>
        </w:rPr>
        <w:t>自成立</w:t>
      </w:r>
      <w:r>
        <w:rPr>
          <w:rFonts w:hint="eastAsia" w:asciiTheme="minorEastAsia" w:hAnsiTheme="minorEastAsia"/>
        </w:rPr>
        <w:t>以来</w:t>
      </w:r>
      <w:r>
        <w:rPr>
          <w:rFonts w:asciiTheme="minorEastAsia" w:hAnsiTheme="minorEastAsia"/>
        </w:rPr>
        <w:t>，越来越多品牌</w:t>
      </w:r>
      <w:r>
        <w:rPr>
          <w:rFonts w:hint="eastAsia" w:asciiTheme="minorEastAsia" w:hAnsiTheme="minorEastAsia"/>
        </w:rPr>
        <w:t>商，价值链相关</w:t>
      </w:r>
      <w:r>
        <w:rPr>
          <w:rFonts w:asciiTheme="minorEastAsia" w:hAnsiTheme="minorEastAsia"/>
        </w:rPr>
        <w:t>方</w:t>
      </w:r>
      <w:r>
        <w:rPr>
          <w:rFonts w:hint="eastAsia" w:asciiTheme="minorEastAsia" w:hAnsiTheme="minorEastAsia"/>
        </w:rPr>
        <w:t>、解决方案提供商</w:t>
      </w:r>
      <w:r>
        <w:rPr>
          <w:rFonts w:asciiTheme="minorEastAsia" w:hAnsiTheme="minorEastAsia"/>
        </w:rPr>
        <w:t>和协会</w:t>
      </w:r>
      <w:r>
        <w:rPr>
          <w:rFonts w:hint="eastAsia" w:asciiTheme="minorEastAsia" w:hAnsiTheme="minorEastAsia"/>
        </w:rPr>
        <w:t>认同</w:t>
      </w:r>
      <w:r>
        <w:rPr>
          <w:rFonts w:asciiTheme="minorEastAsia" w:hAnsiTheme="minorEastAsia"/>
        </w:rPr>
        <w:t>ZDHC的</w:t>
      </w:r>
      <w:r>
        <w:rPr>
          <w:rFonts w:hint="eastAsia" w:asciiTheme="minorEastAsia" w:hAnsiTheme="minorEastAsia"/>
        </w:rPr>
        <w:t>理念，</w:t>
      </w:r>
      <w:r>
        <w:rPr>
          <w:rFonts w:asciiTheme="minorEastAsia" w:hAnsiTheme="minorEastAsia"/>
        </w:rPr>
        <w:t>加入到</w:t>
      </w:r>
      <w:r>
        <w:rPr>
          <w:rFonts w:hint="eastAsia" w:asciiTheme="minorEastAsia" w:hAnsiTheme="minorEastAsia"/>
        </w:rPr>
        <w:t>该</w:t>
      </w:r>
      <w:r>
        <w:rPr>
          <w:rFonts w:asciiTheme="minorEastAsia" w:hAnsiTheme="minorEastAsia"/>
        </w:rPr>
        <w:t>组织</w:t>
      </w:r>
      <w:r>
        <w:rPr>
          <w:rFonts w:hint="eastAsia" w:asciiTheme="minorEastAsia" w:hAnsiTheme="minorEastAsia"/>
        </w:rPr>
        <w:t>，至今Z</w:t>
      </w:r>
      <w:r>
        <w:rPr>
          <w:rFonts w:asciiTheme="minorEastAsia" w:hAnsiTheme="minorEastAsia"/>
        </w:rPr>
        <w:t>D</w:t>
      </w:r>
      <w:r>
        <w:rPr>
          <w:rFonts w:hint="eastAsia" w:asciiTheme="minorEastAsia" w:hAnsiTheme="minorEastAsia"/>
        </w:rPr>
        <w:t>HC已成为一个拥有16</w:t>
      </w:r>
      <w:r>
        <w:rPr>
          <w:rFonts w:asciiTheme="minorEastAsia" w:hAnsiTheme="minorEastAsia"/>
        </w:rPr>
        <w:t>0</w:t>
      </w:r>
      <w:r>
        <w:rPr>
          <w:rFonts w:hint="eastAsia" w:asciiTheme="minorEastAsia" w:hAnsiTheme="minorEastAsia"/>
        </w:rPr>
        <w:t>多个缔约贡献者的全球性团体。在过去的几年</w:t>
      </w:r>
      <w:r>
        <w:rPr>
          <w:rFonts w:asciiTheme="minorEastAsia" w:hAnsiTheme="minorEastAsia"/>
        </w:rPr>
        <w:t>，</w:t>
      </w:r>
      <w:r>
        <w:rPr>
          <w:rFonts w:hint="eastAsia" w:asciiTheme="minorEastAsia" w:hAnsiTheme="minorEastAsia"/>
        </w:rPr>
        <w:t>ZDHC提出各类指南、工具和实践方法，比如</w:t>
      </w:r>
      <w:r>
        <w:rPr>
          <w:rFonts w:asciiTheme="minorEastAsia" w:hAnsiTheme="minorEastAsia"/>
        </w:rPr>
        <w:t>废水</w:t>
      </w:r>
      <w:r>
        <w:rPr>
          <w:rFonts w:hint="eastAsia" w:asciiTheme="minorEastAsia" w:hAnsiTheme="minorEastAsia"/>
        </w:rPr>
        <w:t>指南，Z</w:t>
      </w:r>
      <w:r>
        <w:rPr>
          <w:rFonts w:asciiTheme="minorEastAsia" w:hAnsiTheme="minorEastAsia"/>
        </w:rPr>
        <w:t>DHC</w:t>
      </w:r>
      <w:r>
        <w:rPr>
          <w:rFonts w:hint="eastAsia" w:asciiTheme="minorEastAsia" w:hAnsiTheme="minorEastAsia"/>
        </w:rPr>
        <w:t>废水和污泥的实验室采样和分析计划，生产</w:t>
      </w:r>
      <w:r>
        <w:rPr>
          <w:rFonts w:asciiTheme="minorEastAsia" w:hAnsiTheme="minorEastAsia"/>
        </w:rPr>
        <w:t>限用物质清</w:t>
      </w:r>
      <w:r>
        <w:rPr>
          <w:rFonts w:hint="eastAsia" w:asciiTheme="minorEastAsia" w:hAnsiTheme="minorEastAsia"/>
        </w:rPr>
        <w:t>单（M</w:t>
      </w:r>
      <w:r>
        <w:rPr>
          <w:rFonts w:asciiTheme="minorEastAsia" w:hAnsiTheme="minorEastAsia"/>
        </w:rPr>
        <w:t>RSL</w:t>
      </w:r>
      <w:r>
        <w:rPr>
          <w:rFonts w:hint="eastAsia" w:asciiTheme="minorEastAsia" w:hAnsiTheme="minorEastAsia"/>
        </w:rPr>
        <w:t>），ZDHC MRSL符合性指南，在线数据管理</w:t>
      </w:r>
      <w:r>
        <w:rPr>
          <w:rFonts w:asciiTheme="minorEastAsia" w:hAnsiTheme="minorEastAsia"/>
        </w:rPr>
        <w:t>，</w:t>
      </w:r>
      <w:r>
        <w:rPr>
          <w:rFonts w:hint="eastAsia" w:asciiTheme="minorEastAsia" w:hAnsiTheme="minorEastAsia"/>
        </w:rPr>
        <w:t>工厂化学品管理的验证</w:t>
      </w:r>
      <w:r>
        <w:rPr>
          <w:rFonts w:asciiTheme="minorEastAsia" w:hAnsiTheme="minorEastAsia"/>
        </w:rPr>
        <w:t>要求等，</w:t>
      </w:r>
      <w:r>
        <w:rPr>
          <w:rFonts w:hint="eastAsia" w:asciiTheme="minorEastAsia" w:hAnsiTheme="minorEastAsia"/>
        </w:rPr>
        <w:t>使供应链</w:t>
      </w:r>
      <w:r>
        <w:rPr>
          <w:rFonts w:asciiTheme="minorEastAsia" w:hAnsiTheme="minorEastAsia"/>
        </w:rPr>
        <w:t>各方达成共识</w:t>
      </w:r>
      <w:r>
        <w:rPr>
          <w:rFonts w:asciiTheme="minorEastAsia" w:hAnsiTheme="minorEastAsia"/>
          <w:vertAlign w:val="superscript"/>
        </w:rPr>
        <w:t>2</w:t>
      </w:r>
      <w:r>
        <w:rPr>
          <w:rFonts w:hint="eastAsia" w:asciiTheme="minorEastAsia" w:hAnsiTheme="minorEastAsia"/>
        </w:rPr>
        <w:t>。</w:t>
      </w:r>
    </w:p>
    <w:p>
      <w:pPr>
        <w:pStyle w:val="7"/>
        <w:spacing w:beforeAutospacing="0" w:afterAutospacing="0" w:line="440" w:lineRule="exact"/>
        <w:ind w:firstLine="480" w:firstLineChars="200"/>
        <w:rPr>
          <w:rFonts w:asciiTheme="minorEastAsia" w:hAnsiTheme="minorEastAsia"/>
        </w:rPr>
      </w:pPr>
      <w:r>
        <w:rPr>
          <w:rFonts w:hint="eastAsia" w:asciiTheme="minorEastAsia" w:hAnsiTheme="minorEastAsia"/>
        </w:rPr>
        <w:t>最大限度</w:t>
      </w:r>
      <w:r>
        <w:rPr>
          <w:rFonts w:asciiTheme="minorEastAsia" w:hAnsiTheme="minorEastAsia"/>
        </w:rPr>
        <w:t>的减少</w:t>
      </w:r>
      <w:r>
        <w:rPr>
          <w:rFonts w:hint="eastAsia" w:asciiTheme="minorEastAsia" w:hAnsiTheme="minorEastAsia"/>
        </w:rPr>
        <w:t>纺织</w:t>
      </w:r>
      <w:r>
        <w:rPr>
          <w:rFonts w:asciiTheme="minorEastAsia" w:hAnsiTheme="minorEastAsia"/>
        </w:rPr>
        <w:t>服装</w:t>
      </w:r>
      <w:r>
        <w:rPr>
          <w:rFonts w:hint="eastAsia" w:asciiTheme="minorEastAsia" w:hAnsiTheme="minorEastAsia"/>
        </w:rPr>
        <w:t>供应链</w:t>
      </w:r>
      <w:r>
        <w:rPr>
          <w:rFonts w:asciiTheme="minorEastAsia" w:hAnsiTheme="minorEastAsia"/>
        </w:rPr>
        <w:t>对</w:t>
      </w:r>
      <w:r>
        <w:rPr>
          <w:rFonts w:hint="eastAsia" w:asciiTheme="minorEastAsia" w:hAnsiTheme="minorEastAsia"/>
        </w:rPr>
        <w:t>环境和人类的</w:t>
      </w:r>
      <w:r>
        <w:rPr>
          <w:rFonts w:asciiTheme="minorEastAsia" w:hAnsiTheme="minorEastAsia"/>
        </w:rPr>
        <w:t>影响，是</w:t>
      </w:r>
      <w:r>
        <w:rPr>
          <w:rFonts w:hint="eastAsia" w:asciiTheme="minorEastAsia" w:hAnsiTheme="minorEastAsia"/>
        </w:rPr>
        <w:t>行业可持续</w:t>
      </w:r>
      <w:r>
        <w:rPr>
          <w:rFonts w:asciiTheme="minorEastAsia" w:hAnsiTheme="minorEastAsia"/>
        </w:rPr>
        <w:t>发展</w:t>
      </w:r>
      <w:r>
        <w:rPr>
          <w:rFonts w:hint="eastAsia" w:asciiTheme="minorEastAsia" w:hAnsiTheme="minorEastAsia"/>
        </w:rPr>
        <w:t>的目标</w:t>
      </w:r>
      <w:r>
        <w:rPr>
          <w:rFonts w:asciiTheme="minorEastAsia" w:hAnsiTheme="minorEastAsia"/>
        </w:rPr>
        <w:t>。</w:t>
      </w:r>
      <w:r>
        <w:rPr>
          <w:rFonts w:hint="eastAsia" w:asciiTheme="minorEastAsia" w:hAnsiTheme="minorEastAsia"/>
        </w:rPr>
        <w:t>对于纺织及染整行业，该如何应对呢？</w:t>
      </w:r>
    </w:p>
    <w:p>
      <w:pPr>
        <w:pStyle w:val="7"/>
        <w:spacing w:beforeAutospacing="0" w:afterAutospacing="0" w:line="440" w:lineRule="exact"/>
        <w:ind w:firstLine="482" w:firstLineChars="200"/>
        <w:rPr>
          <w:rFonts w:asciiTheme="minorEastAsia" w:hAnsiTheme="minorEastAsia"/>
          <w:b/>
          <w:bCs/>
        </w:rPr>
      </w:pPr>
      <w:r>
        <w:rPr>
          <w:rFonts w:hint="eastAsia" w:asciiTheme="minorEastAsia" w:hAnsiTheme="minorEastAsia"/>
          <w:b/>
          <w:bCs/>
        </w:rPr>
        <w:t>输入环节</w:t>
      </w:r>
    </w:p>
    <w:p>
      <w:pPr>
        <w:pStyle w:val="7"/>
        <w:numPr>
          <w:ilvl w:val="2"/>
          <w:numId w:val="1"/>
        </w:numPr>
        <w:spacing w:beforeAutospacing="0" w:afterAutospacing="0" w:line="440" w:lineRule="exact"/>
        <w:ind w:left="0" w:firstLine="480" w:firstLineChars="200"/>
        <w:rPr>
          <w:rFonts w:asciiTheme="minorEastAsia" w:hAnsiTheme="minorEastAsia"/>
        </w:rPr>
      </w:pPr>
      <w:r>
        <w:rPr>
          <w:rFonts w:hint="eastAsia" w:asciiTheme="minorEastAsia" w:hAnsiTheme="minorEastAsia"/>
        </w:rPr>
        <w:t>对于所有采购的化学品和原材料进行风险分析</w:t>
      </w:r>
    </w:p>
    <w:p>
      <w:pPr>
        <w:pStyle w:val="7"/>
        <w:numPr>
          <w:ilvl w:val="2"/>
          <w:numId w:val="1"/>
        </w:numPr>
        <w:spacing w:beforeAutospacing="0" w:afterAutospacing="0" w:line="440" w:lineRule="exact"/>
        <w:ind w:left="0" w:firstLine="480" w:firstLineChars="200"/>
        <w:rPr>
          <w:rFonts w:asciiTheme="minorEastAsia" w:hAnsiTheme="minorEastAsia"/>
        </w:rPr>
      </w:pPr>
      <w:r>
        <w:rPr>
          <w:rFonts w:hint="eastAsia" w:asciiTheme="minorEastAsia" w:hAnsiTheme="minorEastAsia"/>
        </w:rPr>
        <w:t>有效地进行化学品信息的管理</w:t>
      </w:r>
    </w:p>
    <w:p>
      <w:pPr>
        <w:pStyle w:val="7"/>
        <w:numPr>
          <w:ilvl w:val="2"/>
          <w:numId w:val="1"/>
        </w:numPr>
        <w:spacing w:beforeAutospacing="0" w:afterAutospacing="0" w:line="440" w:lineRule="exact"/>
        <w:ind w:left="0" w:firstLine="480" w:firstLineChars="200"/>
        <w:rPr>
          <w:rFonts w:asciiTheme="minorEastAsia" w:hAnsiTheme="minorEastAsia"/>
        </w:rPr>
      </w:pPr>
      <w:r>
        <w:rPr>
          <w:rFonts w:hint="eastAsia" w:asciiTheme="minorEastAsia" w:hAnsiTheme="minorEastAsia"/>
        </w:rPr>
        <w:t>对于高风险的化学品应该实施适宜的行动</w:t>
      </w:r>
    </w:p>
    <w:p>
      <w:pPr>
        <w:pStyle w:val="7"/>
        <w:numPr>
          <w:ilvl w:val="2"/>
          <w:numId w:val="1"/>
        </w:numPr>
        <w:spacing w:beforeAutospacing="0" w:afterAutospacing="0" w:line="440" w:lineRule="exact"/>
        <w:ind w:left="0" w:firstLine="480" w:firstLineChars="200"/>
        <w:rPr>
          <w:rFonts w:asciiTheme="minorEastAsia" w:hAnsiTheme="minorEastAsia"/>
        </w:rPr>
      </w:pPr>
      <w:r>
        <w:rPr>
          <w:rFonts w:hint="eastAsia" w:asciiTheme="minorEastAsia" w:hAnsiTheme="minorEastAsia"/>
        </w:rPr>
        <w:t>在输入阶段预防引入受限化学品</w:t>
      </w:r>
    </w:p>
    <w:p>
      <w:pPr>
        <w:pStyle w:val="7"/>
        <w:spacing w:beforeAutospacing="0" w:afterAutospacing="0" w:line="440" w:lineRule="exact"/>
        <w:ind w:firstLine="482" w:firstLineChars="200"/>
        <w:rPr>
          <w:rFonts w:asciiTheme="minorEastAsia" w:hAnsiTheme="minorEastAsia"/>
          <w:b/>
          <w:bCs/>
        </w:rPr>
      </w:pPr>
      <w:r>
        <w:rPr>
          <w:rFonts w:hint="eastAsia" w:asciiTheme="minorEastAsia" w:hAnsiTheme="minorEastAsia"/>
          <w:b/>
          <w:bCs/>
        </w:rPr>
        <w:t>过程环节</w:t>
      </w:r>
    </w:p>
    <w:p>
      <w:pPr>
        <w:pStyle w:val="7"/>
        <w:numPr>
          <w:ilvl w:val="2"/>
          <w:numId w:val="1"/>
        </w:numPr>
        <w:spacing w:beforeAutospacing="0" w:afterAutospacing="0" w:line="440" w:lineRule="exact"/>
        <w:ind w:left="0" w:firstLine="480" w:firstLineChars="200"/>
        <w:rPr>
          <w:rFonts w:asciiTheme="minorEastAsia" w:hAnsiTheme="minorEastAsia"/>
        </w:rPr>
      </w:pPr>
      <w:r>
        <w:rPr>
          <w:rFonts w:hint="eastAsia" w:asciiTheme="minorEastAsia" w:hAnsiTheme="minorEastAsia"/>
        </w:rPr>
        <w:t>在产品开发阶段前提前识别每个过程的风险</w:t>
      </w:r>
    </w:p>
    <w:p>
      <w:pPr>
        <w:pStyle w:val="7"/>
        <w:numPr>
          <w:ilvl w:val="2"/>
          <w:numId w:val="1"/>
        </w:numPr>
        <w:spacing w:beforeAutospacing="0" w:afterAutospacing="0" w:line="440" w:lineRule="exact"/>
        <w:ind w:left="0" w:firstLine="480" w:firstLineChars="200"/>
        <w:rPr>
          <w:rFonts w:asciiTheme="minorEastAsia" w:hAnsiTheme="minorEastAsia"/>
        </w:rPr>
      </w:pPr>
      <w:r>
        <w:rPr>
          <w:rFonts w:hint="eastAsia" w:asciiTheme="minorEastAsia" w:hAnsiTheme="minorEastAsia"/>
        </w:rPr>
        <w:t>监控在生产的每个过程中所使用的化学品的危害水平</w:t>
      </w:r>
    </w:p>
    <w:p>
      <w:pPr>
        <w:pStyle w:val="7"/>
        <w:numPr>
          <w:ilvl w:val="2"/>
          <w:numId w:val="1"/>
        </w:numPr>
        <w:spacing w:beforeAutospacing="0" w:afterAutospacing="0" w:line="440" w:lineRule="exact"/>
        <w:ind w:left="0" w:firstLine="480" w:firstLineChars="200"/>
        <w:rPr>
          <w:rFonts w:asciiTheme="minorEastAsia" w:hAnsiTheme="minorEastAsia"/>
        </w:rPr>
      </w:pPr>
      <w:r>
        <w:rPr>
          <w:rFonts w:hint="eastAsia" w:asciiTheme="minorEastAsia" w:hAnsiTheme="minorEastAsia"/>
        </w:rPr>
        <w:t>在化学品库存目录中建立有关输入化学品和最终产品间信息的关键联系，以增强可追溯性</w:t>
      </w:r>
    </w:p>
    <w:p>
      <w:pPr>
        <w:pStyle w:val="7"/>
        <w:spacing w:beforeAutospacing="0" w:afterAutospacing="0" w:line="440" w:lineRule="exact"/>
        <w:ind w:firstLine="480" w:firstLineChars="200"/>
        <w:rPr>
          <w:rFonts w:asciiTheme="minorEastAsia" w:hAnsiTheme="minorEastAsia"/>
        </w:rPr>
      </w:pPr>
      <w:r>
        <w:rPr>
          <w:rFonts w:hint="eastAsia" w:asciiTheme="minorEastAsia" w:hAnsiTheme="minorEastAsia"/>
        </w:rPr>
        <w:t>输出环节</w:t>
      </w:r>
    </w:p>
    <w:p>
      <w:pPr>
        <w:pStyle w:val="7"/>
        <w:numPr>
          <w:ilvl w:val="2"/>
          <w:numId w:val="1"/>
        </w:numPr>
        <w:spacing w:beforeAutospacing="0" w:afterAutospacing="0" w:line="440" w:lineRule="exact"/>
        <w:ind w:left="0" w:firstLine="480" w:firstLineChars="200"/>
        <w:rPr>
          <w:rFonts w:asciiTheme="minorEastAsia" w:hAnsiTheme="minorEastAsia"/>
        </w:rPr>
      </w:pPr>
      <w:r>
        <w:rPr>
          <w:rFonts w:hint="eastAsia" w:asciiTheme="minorEastAsia" w:hAnsiTheme="minorEastAsia"/>
        </w:rPr>
        <w:t>进行自我评估以监控典型的工厂输出：最终产品和环境排放；生产环境也是化学品输出管理的一个重要因素</w:t>
      </w:r>
    </w:p>
    <w:p>
      <w:pPr>
        <w:pStyle w:val="7"/>
        <w:numPr>
          <w:ilvl w:val="2"/>
          <w:numId w:val="1"/>
        </w:numPr>
        <w:spacing w:beforeAutospacing="0" w:afterAutospacing="0" w:line="440" w:lineRule="exact"/>
        <w:ind w:left="0" w:firstLine="480" w:firstLineChars="200"/>
        <w:rPr>
          <w:rFonts w:asciiTheme="minorEastAsia" w:hAnsiTheme="minorEastAsia"/>
        </w:rPr>
      </w:pPr>
      <w:r>
        <w:rPr>
          <w:rFonts w:hint="eastAsia" w:asciiTheme="minorEastAsia" w:hAnsiTheme="minorEastAsia"/>
        </w:rPr>
        <w:t>进行根本原因分析，特别是对于产品和废水不符合性</w:t>
      </w:r>
    </w:p>
    <w:p>
      <w:pPr>
        <w:pStyle w:val="7"/>
        <w:numPr>
          <w:ilvl w:val="2"/>
          <w:numId w:val="1"/>
        </w:numPr>
        <w:spacing w:beforeAutospacing="0" w:afterAutospacing="0" w:line="440" w:lineRule="exact"/>
        <w:ind w:left="0" w:firstLine="480" w:firstLineChars="200"/>
        <w:rPr>
          <w:rFonts w:asciiTheme="minorEastAsia" w:hAnsiTheme="minorEastAsia"/>
        </w:rPr>
      </w:pPr>
      <w:r>
        <w:rPr>
          <w:rFonts w:hint="eastAsia" w:asciiTheme="minorEastAsia" w:hAnsiTheme="minorEastAsia"/>
        </w:rPr>
        <w:t>实施改善计划以增强输入和过程中的化学品管理</w:t>
      </w:r>
    </w:p>
    <w:p>
      <w:pPr>
        <w:pStyle w:val="7"/>
        <w:spacing w:beforeAutospacing="0" w:afterAutospacing="0" w:line="440" w:lineRule="exact"/>
        <w:ind w:firstLine="480" w:firstLineChars="200"/>
        <w:rPr>
          <w:rFonts w:asciiTheme="minorEastAsia" w:hAnsiTheme="minorEastAsia"/>
        </w:rPr>
      </w:pPr>
      <w:r>
        <w:rPr>
          <w:rFonts w:hint="eastAsia" w:asciiTheme="minorEastAsia" w:hAnsiTheme="minorEastAsia"/>
        </w:rPr>
        <w:t>如今，化学品的使用及管理不当问题非常普遍，但这种问题很少是由人为恶意造成的。引发此类问题最常见的原因是生产链下游用户对上游化学品管理知识的缺乏。S</w:t>
      </w:r>
      <w:r>
        <w:rPr>
          <w:rFonts w:asciiTheme="minorEastAsia" w:hAnsiTheme="minorEastAsia"/>
        </w:rPr>
        <w:t>GS</w:t>
      </w:r>
      <w:r>
        <w:rPr>
          <w:rFonts w:hint="eastAsia" w:asciiTheme="minorEastAsia" w:hAnsiTheme="minorEastAsia"/>
        </w:rPr>
        <w:t>作为可持续发展的倡导者，凭借丰富的化学品合规管控经验、强大的技术实力以及全球范围的实验室网络，服务于纺织及鞋类领域价值链的各个环节，从原材料的化学品限用物质符合性评估、生产过程及体系中的化学品管理到生产后的废水测试，提供一站式解决方案。</w:t>
      </w:r>
    </w:p>
    <w:p>
      <w:pPr>
        <w:pStyle w:val="7"/>
        <w:spacing w:beforeAutospacing="0" w:afterAutospacing="0" w:line="440" w:lineRule="exact"/>
        <w:ind w:firstLine="482" w:firstLineChars="200"/>
        <w:rPr>
          <w:rFonts w:asciiTheme="minorEastAsia" w:hAnsiTheme="minorEastAsia"/>
          <w:b/>
          <w:bCs/>
        </w:rPr>
      </w:pPr>
      <w:r>
        <w:rPr>
          <w:rFonts w:hint="eastAsia" w:asciiTheme="minorEastAsia" w:hAnsiTheme="minorEastAsia"/>
          <w:b/>
          <w:bCs/>
        </w:rPr>
        <w:t>S</w:t>
      </w:r>
      <w:r>
        <w:rPr>
          <w:rFonts w:asciiTheme="minorEastAsia" w:hAnsiTheme="minorEastAsia"/>
          <w:b/>
          <w:bCs/>
        </w:rPr>
        <w:t>GS</w:t>
      </w:r>
      <w:r>
        <w:rPr>
          <w:rFonts w:hint="eastAsia" w:asciiTheme="minorEastAsia" w:hAnsiTheme="minorEastAsia"/>
          <w:b/>
          <w:bCs/>
        </w:rPr>
        <w:t>化学品限用物质合规性评估</w:t>
      </w:r>
    </w:p>
    <w:p>
      <w:pPr>
        <w:pStyle w:val="7"/>
        <w:spacing w:beforeAutospacing="0" w:afterAutospacing="0" w:line="440" w:lineRule="exact"/>
        <w:ind w:firstLine="480" w:firstLineChars="200"/>
        <w:rPr>
          <w:rFonts w:asciiTheme="minorEastAsia" w:hAnsiTheme="minorEastAsia"/>
        </w:rPr>
      </w:pPr>
      <w:r>
        <w:rPr>
          <w:rFonts w:hint="eastAsia" w:asciiTheme="minorEastAsia" w:hAnsiTheme="minorEastAsia"/>
        </w:rPr>
        <w:t>根据生产限用物质清单(M</w:t>
      </w:r>
      <w:r>
        <w:rPr>
          <w:rFonts w:asciiTheme="minorEastAsia" w:hAnsiTheme="minorEastAsia"/>
        </w:rPr>
        <w:t>RSL)</w:t>
      </w:r>
      <w:r>
        <w:rPr>
          <w:rFonts w:hint="eastAsia" w:asciiTheme="minorEastAsia" w:hAnsiTheme="minorEastAsia"/>
        </w:rPr>
        <w:t>对化学品进行检测、认证等符合性评估，可以提升化学品的安全性和合规性，进而推动供应链中产品的品质升级，有效避免有害物质排放。S</w:t>
      </w:r>
      <w:r>
        <w:rPr>
          <w:rFonts w:asciiTheme="minorEastAsia" w:hAnsiTheme="minorEastAsia"/>
        </w:rPr>
        <w:t>GS</w:t>
      </w:r>
      <w:r>
        <w:rPr>
          <w:rFonts w:hint="eastAsia" w:asciiTheme="minorEastAsia" w:hAnsiTheme="minorEastAsia"/>
        </w:rPr>
        <w:t>作为Z</w:t>
      </w:r>
      <w:r>
        <w:rPr>
          <w:rFonts w:asciiTheme="minorEastAsia" w:hAnsiTheme="minorEastAsia"/>
        </w:rPr>
        <w:t>DHC</w:t>
      </w:r>
      <w:r>
        <w:rPr>
          <w:rFonts w:hint="eastAsia" w:asciiTheme="minorEastAsia" w:hAnsiTheme="minorEastAsia"/>
        </w:rPr>
        <w:t>认可的符合性1级指标实验室，自创开发了简单直接的化学筛查测试方法（S</w:t>
      </w:r>
      <w:r>
        <w:rPr>
          <w:rFonts w:asciiTheme="minorEastAsia" w:hAnsiTheme="minorEastAsia"/>
        </w:rPr>
        <w:t>GS BRS300-2020</w:t>
      </w:r>
      <w:r>
        <w:rPr>
          <w:rFonts w:hint="eastAsia" w:asciiTheme="minorEastAsia" w:hAnsiTheme="minorEastAsia"/>
        </w:rPr>
        <w:t>）,还可根据客户的个性化需求和产品特性量身定制M</w:t>
      </w:r>
      <w:r>
        <w:rPr>
          <w:rFonts w:asciiTheme="minorEastAsia" w:hAnsiTheme="minorEastAsia"/>
        </w:rPr>
        <w:t>RSL</w:t>
      </w:r>
      <w:r>
        <w:rPr>
          <w:rFonts w:hint="eastAsia" w:asciiTheme="minorEastAsia" w:hAnsiTheme="minorEastAsia"/>
        </w:rPr>
        <w:t>测试方案，提供全面有效的化学品限用物质合规性评估。</w:t>
      </w:r>
    </w:p>
    <w:p>
      <w:pPr>
        <w:pStyle w:val="7"/>
        <w:spacing w:beforeAutospacing="0" w:afterAutospacing="0" w:line="440" w:lineRule="exact"/>
        <w:ind w:firstLine="480" w:firstLineChars="200"/>
        <w:rPr>
          <w:rFonts w:asciiTheme="minorEastAsia" w:hAnsiTheme="minorEastAsia"/>
        </w:rPr>
      </w:pPr>
      <w:r>
        <w:rPr>
          <w:rFonts w:hint="eastAsia" w:asciiTheme="minorEastAsia" w:hAnsiTheme="minorEastAsia"/>
        </w:rPr>
        <w:drawing>
          <wp:anchor distT="0" distB="0" distL="114300" distR="114300" simplePos="0" relativeHeight="251660288" behindDoc="0" locked="0" layoutInCell="1" allowOverlap="1">
            <wp:simplePos x="0" y="0"/>
            <wp:positionH relativeFrom="column">
              <wp:posOffset>-285750</wp:posOffset>
            </wp:positionH>
            <wp:positionV relativeFrom="paragraph">
              <wp:posOffset>200025</wp:posOffset>
            </wp:positionV>
            <wp:extent cx="3061970" cy="1485900"/>
            <wp:effectExtent l="0" t="0" r="0" b="0"/>
            <wp:wrapNone/>
            <wp:docPr id="5" name="Picture 5"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Diagram&#10;&#10;Description automatically generated"/>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3062159" cy="1485900"/>
                    </a:xfrm>
                    <a:prstGeom prst="rect">
                      <a:avLst/>
                    </a:prstGeom>
                  </pic:spPr>
                </pic:pic>
              </a:graphicData>
            </a:graphic>
          </wp:anchor>
        </w:drawing>
      </w:r>
    </w:p>
    <w:p>
      <w:pPr>
        <w:pStyle w:val="7"/>
        <w:spacing w:beforeAutospacing="0" w:afterAutospacing="0" w:line="440" w:lineRule="exact"/>
        <w:ind w:firstLine="480" w:firstLineChars="200"/>
        <w:rPr>
          <w:rFonts w:asciiTheme="minorEastAsia" w:hAnsiTheme="minorEastAsia"/>
        </w:rPr>
      </w:pPr>
    </w:p>
    <w:p>
      <w:pPr>
        <w:pStyle w:val="7"/>
        <w:spacing w:beforeAutospacing="0" w:afterAutospacing="0" w:line="440" w:lineRule="exact"/>
        <w:ind w:firstLine="480" w:firstLineChars="200"/>
        <w:rPr>
          <w:rFonts w:asciiTheme="minorEastAsia" w:hAnsiTheme="minorEastAsia"/>
        </w:rPr>
      </w:pPr>
    </w:p>
    <w:p>
      <w:pPr>
        <w:pStyle w:val="7"/>
        <w:spacing w:beforeAutospacing="0" w:afterAutospacing="0" w:line="440" w:lineRule="exact"/>
        <w:ind w:firstLine="480" w:firstLineChars="200"/>
        <w:rPr>
          <w:rFonts w:asciiTheme="minorEastAsia" w:hAnsiTheme="minorEastAsia"/>
        </w:rPr>
      </w:pPr>
    </w:p>
    <w:p>
      <w:pPr>
        <w:pStyle w:val="7"/>
        <w:spacing w:beforeAutospacing="0" w:afterAutospacing="0" w:line="440" w:lineRule="exact"/>
        <w:ind w:firstLine="480" w:firstLineChars="200"/>
        <w:rPr>
          <w:rFonts w:asciiTheme="minorEastAsia" w:hAnsiTheme="minorEastAsia"/>
        </w:rPr>
      </w:pPr>
    </w:p>
    <w:p>
      <w:pPr>
        <w:pStyle w:val="7"/>
        <w:spacing w:beforeAutospacing="0" w:afterAutospacing="0" w:line="440" w:lineRule="exact"/>
        <w:ind w:firstLine="480" w:firstLineChars="200"/>
        <w:rPr>
          <w:rFonts w:asciiTheme="minorEastAsia" w:hAnsiTheme="minorEastAsia"/>
        </w:rPr>
      </w:pPr>
    </w:p>
    <w:p>
      <w:pPr>
        <w:pStyle w:val="7"/>
        <w:spacing w:beforeAutospacing="0" w:afterAutospacing="0" w:line="440" w:lineRule="exact"/>
        <w:ind w:firstLine="482" w:firstLineChars="200"/>
        <w:rPr>
          <w:rFonts w:asciiTheme="minorEastAsia" w:hAnsiTheme="minorEastAsia"/>
          <w:b/>
          <w:bCs/>
        </w:rPr>
      </w:pPr>
      <w:r>
        <w:rPr>
          <w:rFonts w:asciiTheme="minorEastAsia" w:hAnsiTheme="minorEastAsia"/>
          <w:b/>
          <w:bCs/>
        </w:rPr>
        <w:t>SGS</w:t>
      </w:r>
      <w:r>
        <w:rPr>
          <w:rFonts w:hint="eastAsia" w:asciiTheme="minorEastAsia" w:hAnsiTheme="minorEastAsia"/>
          <w:b/>
          <w:bCs/>
        </w:rPr>
        <w:t>化学品管理解决方案</w:t>
      </w:r>
    </w:p>
    <w:p>
      <w:pPr>
        <w:pStyle w:val="7"/>
        <w:spacing w:beforeAutospacing="0" w:afterAutospacing="0" w:line="440" w:lineRule="exact"/>
        <w:ind w:firstLine="480" w:firstLineChars="200"/>
        <w:rPr>
          <w:rFonts w:asciiTheme="minorEastAsia" w:hAnsiTheme="minorEastAsia"/>
        </w:rPr>
      </w:pPr>
      <w:r>
        <w:rPr>
          <w:rFonts w:hint="eastAsia" w:asciiTheme="minorEastAsia" w:hAnsiTheme="minorEastAsia"/>
        </w:rPr>
        <w:t>生产中危害化学品的不当使用很容易引起受限物质含量超标及污染问题，从而对人类健康及环境造成危害。因此，过程管理和系统实施能有效规避潜在风险。S</w:t>
      </w:r>
      <w:r>
        <w:rPr>
          <w:rFonts w:asciiTheme="minorEastAsia" w:hAnsiTheme="minorEastAsia"/>
        </w:rPr>
        <w:t>GS</w:t>
      </w:r>
      <w:r>
        <w:rPr>
          <w:rFonts w:hint="eastAsia" w:asciiTheme="minorEastAsia" w:hAnsiTheme="minorEastAsia"/>
        </w:rPr>
        <w:t>的多维化学品管理解决方案可以帮助企业，确保化学品原料和配方安全合规。</w:t>
      </w:r>
    </w:p>
    <w:p>
      <w:pPr>
        <w:pStyle w:val="7"/>
        <w:numPr>
          <w:ilvl w:val="2"/>
          <w:numId w:val="1"/>
        </w:numPr>
        <w:spacing w:beforeAutospacing="0" w:afterAutospacing="0" w:line="440" w:lineRule="exact"/>
        <w:ind w:left="0" w:firstLine="480" w:firstLineChars="200"/>
        <w:rPr>
          <w:rFonts w:asciiTheme="minorEastAsia" w:hAnsiTheme="minorEastAsia"/>
        </w:rPr>
      </w:pPr>
      <w:r>
        <w:rPr>
          <w:rFonts w:hint="eastAsia" w:asciiTheme="minorEastAsia" w:hAnsiTheme="minorEastAsia"/>
        </w:rPr>
        <w:t>化学品风险及绩效评估</w:t>
      </w:r>
    </w:p>
    <w:p>
      <w:pPr>
        <w:pStyle w:val="7"/>
        <w:numPr>
          <w:ilvl w:val="3"/>
          <w:numId w:val="1"/>
        </w:numPr>
        <w:spacing w:beforeAutospacing="0" w:afterAutospacing="0" w:line="440" w:lineRule="exact"/>
        <w:ind w:left="0" w:firstLine="480" w:firstLineChars="200"/>
        <w:rPr>
          <w:rFonts w:asciiTheme="minorEastAsia" w:hAnsiTheme="minorEastAsia"/>
        </w:rPr>
      </w:pPr>
      <w:r>
        <w:rPr>
          <w:rFonts w:hint="eastAsia" w:asciiTheme="minorEastAsia" w:hAnsiTheme="minorEastAsia"/>
        </w:rPr>
        <w:t>化学品管理绩效对标及改进方案（基于4</w:t>
      </w:r>
      <w:r>
        <w:rPr>
          <w:rFonts w:asciiTheme="minorEastAsia" w:hAnsiTheme="minorEastAsia"/>
        </w:rPr>
        <w:t>C</w:t>
      </w:r>
      <w:r>
        <w:rPr>
          <w:rFonts w:hint="eastAsia" w:asciiTheme="minorEastAsia" w:hAnsiTheme="minorEastAsia"/>
        </w:rPr>
        <w:t>模型）</w:t>
      </w:r>
    </w:p>
    <w:p>
      <w:pPr>
        <w:pStyle w:val="7"/>
        <w:numPr>
          <w:ilvl w:val="3"/>
          <w:numId w:val="1"/>
        </w:numPr>
        <w:spacing w:beforeAutospacing="0" w:afterAutospacing="0" w:line="440" w:lineRule="exact"/>
        <w:ind w:left="0" w:firstLine="480" w:firstLineChars="200"/>
        <w:rPr>
          <w:rFonts w:asciiTheme="minorEastAsia" w:hAnsiTheme="minorEastAsia"/>
        </w:rPr>
      </w:pPr>
      <w:r>
        <w:rPr>
          <w:rFonts w:hint="eastAsia" w:asciiTheme="minorEastAsia" w:hAnsiTheme="minorEastAsia"/>
        </w:rPr>
        <w:t>Higg</w:t>
      </w:r>
      <w:r>
        <w:rPr>
          <w:rFonts w:asciiTheme="minorEastAsia" w:hAnsiTheme="minorEastAsia"/>
        </w:rPr>
        <w:t xml:space="preserve"> I</w:t>
      </w:r>
      <w:r>
        <w:rPr>
          <w:rFonts w:hint="eastAsia" w:asciiTheme="minorEastAsia" w:hAnsiTheme="minorEastAsia"/>
        </w:rPr>
        <w:t>ndex验证服务</w:t>
      </w:r>
    </w:p>
    <w:p>
      <w:pPr>
        <w:pStyle w:val="7"/>
        <w:numPr>
          <w:ilvl w:val="2"/>
          <w:numId w:val="1"/>
        </w:numPr>
        <w:spacing w:beforeAutospacing="0" w:afterAutospacing="0" w:line="440" w:lineRule="exact"/>
        <w:ind w:left="0" w:firstLine="480" w:firstLineChars="200"/>
        <w:rPr>
          <w:rFonts w:asciiTheme="minorEastAsia" w:hAnsiTheme="minorEastAsia"/>
        </w:rPr>
      </w:pPr>
      <w:r>
        <w:rPr>
          <w:rFonts w:hint="eastAsia" w:asciiTheme="minorEastAsia" w:hAnsiTheme="minorEastAsia"/>
        </w:rPr>
        <w:t>培训和知识管理</w:t>
      </w:r>
    </w:p>
    <w:p>
      <w:pPr>
        <w:pStyle w:val="7"/>
        <w:numPr>
          <w:ilvl w:val="3"/>
          <w:numId w:val="1"/>
        </w:numPr>
        <w:spacing w:beforeAutospacing="0" w:afterAutospacing="0" w:line="440" w:lineRule="exact"/>
        <w:ind w:left="0" w:firstLine="480" w:firstLineChars="200"/>
        <w:rPr>
          <w:rFonts w:asciiTheme="minorEastAsia" w:hAnsiTheme="minorEastAsia"/>
        </w:rPr>
      </w:pPr>
      <w:r>
        <w:rPr>
          <w:rFonts w:hint="eastAsia" w:asciiTheme="minorEastAsia" w:hAnsiTheme="minorEastAsia"/>
        </w:rPr>
        <w:t>危害物质管控研讨会</w:t>
      </w:r>
    </w:p>
    <w:p>
      <w:pPr>
        <w:pStyle w:val="7"/>
        <w:numPr>
          <w:ilvl w:val="3"/>
          <w:numId w:val="1"/>
        </w:numPr>
        <w:spacing w:beforeAutospacing="0" w:afterAutospacing="0" w:line="440" w:lineRule="exact"/>
        <w:ind w:left="0" w:firstLine="480" w:firstLineChars="200"/>
        <w:rPr>
          <w:rFonts w:asciiTheme="minorEastAsia" w:hAnsiTheme="minorEastAsia"/>
        </w:rPr>
      </w:pPr>
      <w:r>
        <w:rPr>
          <w:rFonts w:hint="eastAsia" w:asciiTheme="minorEastAsia" w:hAnsiTheme="minorEastAsia"/>
        </w:rPr>
        <w:t>有害化学物质零排放（Z</w:t>
      </w:r>
      <w:r>
        <w:rPr>
          <w:rFonts w:asciiTheme="minorEastAsia" w:hAnsiTheme="minorEastAsia"/>
        </w:rPr>
        <w:t>DHC</w:t>
      </w:r>
      <w:r>
        <w:rPr>
          <w:rFonts w:hint="eastAsia" w:asciiTheme="minorEastAsia" w:hAnsiTheme="minorEastAsia"/>
        </w:rPr>
        <w:t>）学院培训</w:t>
      </w:r>
    </w:p>
    <w:p>
      <w:pPr>
        <w:pStyle w:val="7"/>
        <w:numPr>
          <w:ilvl w:val="3"/>
          <w:numId w:val="1"/>
        </w:numPr>
        <w:spacing w:beforeAutospacing="0" w:afterAutospacing="0" w:line="440" w:lineRule="exact"/>
        <w:ind w:left="0" w:firstLine="480" w:firstLineChars="200"/>
        <w:rPr>
          <w:rFonts w:asciiTheme="minorEastAsia" w:hAnsiTheme="minorEastAsia"/>
        </w:rPr>
      </w:pPr>
      <w:r>
        <w:rPr>
          <w:rFonts w:hint="eastAsia" w:asciiTheme="minorEastAsia" w:hAnsiTheme="minorEastAsia"/>
        </w:rPr>
        <w:t>全球化学品分类和标签制度（G</w:t>
      </w:r>
      <w:r>
        <w:rPr>
          <w:rFonts w:asciiTheme="minorEastAsia" w:hAnsiTheme="minorEastAsia"/>
        </w:rPr>
        <w:t>HS</w:t>
      </w:r>
      <w:r>
        <w:rPr>
          <w:rFonts w:hint="eastAsia" w:asciiTheme="minorEastAsia" w:hAnsiTheme="minorEastAsia"/>
        </w:rPr>
        <w:t>）及化学品安全技术说明书(</w:t>
      </w:r>
      <w:r>
        <w:rPr>
          <w:rFonts w:asciiTheme="minorEastAsia" w:hAnsiTheme="minorEastAsia"/>
        </w:rPr>
        <w:t>SDS</w:t>
      </w:r>
      <w:r>
        <w:rPr>
          <w:rFonts w:hint="eastAsia" w:asciiTheme="minorEastAsia" w:hAnsiTheme="minorEastAsia"/>
        </w:rPr>
        <w:t>)培训</w:t>
      </w:r>
    </w:p>
    <w:p>
      <w:pPr>
        <w:pStyle w:val="7"/>
        <w:numPr>
          <w:ilvl w:val="2"/>
          <w:numId w:val="1"/>
        </w:numPr>
        <w:spacing w:beforeAutospacing="0" w:afterAutospacing="0" w:line="440" w:lineRule="exact"/>
        <w:ind w:left="0" w:firstLine="480" w:firstLineChars="200"/>
        <w:rPr>
          <w:rFonts w:asciiTheme="minorEastAsia" w:hAnsiTheme="minorEastAsia"/>
        </w:rPr>
      </w:pPr>
      <w:r>
        <w:rPr>
          <w:rFonts w:hint="eastAsia" w:asciiTheme="minorEastAsia" w:hAnsiTheme="minorEastAsia"/>
        </w:rPr>
        <w:t>最佳实践和系统实施</w:t>
      </w:r>
    </w:p>
    <w:p>
      <w:pPr>
        <w:pStyle w:val="7"/>
        <w:numPr>
          <w:ilvl w:val="3"/>
          <w:numId w:val="1"/>
        </w:numPr>
        <w:spacing w:beforeAutospacing="0" w:afterAutospacing="0" w:line="440" w:lineRule="exact"/>
        <w:ind w:left="0" w:firstLine="480" w:firstLineChars="200"/>
        <w:rPr>
          <w:rFonts w:asciiTheme="minorEastAsia" w:hAnsiTheme="minorEastAsia"/>
        </w:rPr>
      </w:pPr>
      <w:r>
        <w:rPr>
          <w:rFonts w:hint="eastAsia" w:asciiTheme="minorEastAsia" w:hAnsiTheme="minorEastAsia"/>
        </w:rPr>
        <w:t>受关注化学品的根本原因分析</w:t>
      </w:r>
    </w:p>
    <w:p>
      <w:pPr>
        <w:pStyle w:val="7"/>
        <w:numPr>
          <w:ilvl w:val="3"/>
          <w:numId w:val="1"/>
        </w:numPr>
        <w:spacing w:beforeAutospacing="0" w:afterAutospacing="0" w:line="440" w:lineRule="exact"/>
        <w:ind w:left="0" w:firstLine="480" w:firstLineChars="200"/>
        <w:rPr>
          <w:rFonts w:asciiTheme="minorEastAsia" w:hAnsiTheme="minorEastAsia"/>
        </w:rPr>
      </w:pPr>
      <w:r>
        <w:rPr>
          <w:rFonts w:hint="eastAsia" w:asciiTheme="minorEastAsia" w:hAnsiTheme="minorEastAsia"/>
        </w:rPr>
        <w:t>化学品管理相关资讯服务</w:t>
      </w:r>
    </w:p>
    <w:p>
      <w:pPr>
        <w:pStyle w:val="7"/>
        <w:spacing w:beforeAutospacing="0" w:afterAutospacing="0" w:line="440" w:lineRule="exact"/>
        <w:ind w:firstLine="482" w:firstLineChars="200"/>
        <w:rPr>
          <w:rFonts w:asciiTheme="minorEastAsia" w:hAnsiTheme="minorEastAsia"/>
          <w:b/>
          <w:bCs/>
        </w:rPr>
      </w:pPr>
      <w:r>
        <w:rPr>
          <w:rFonts w:hint="eastAsia" w:asciiTheme="minorEastAsia" w:hAnsiTheme="minorEastAsia"/>
          <w:b/>
          <w:bCs/>
        </w:rPr>
        <w:t>S</w:t>
      </w:r>
      <w:r>
        <w:rPr>
          <w:rFonts w:asciiTheme="minorEastAsia" w:hAnsiTheme="minorEastAsia"/>
          <w:b/>
          <w:bCs/>
        </w:rPr>
        <w:t>GS</w:t>
      </w:r>
      <w:r>
        <w:rPr>
          <w:rFonts w:hint="eastAsia" w:asciiTheme="minorEastAsia" w:hAnsiTheme="minorEastAsia"/>
          <w:b/>
          <w:bCs/>
        </w:rPr>
        <w:t>废水测试服务</w:t>
      </w:r>
    </w:p>
    <w:p>
      <w:pPr>
        <w:pStyle w:val="7"/>
        <w:spacing w:beforeAutospacing="0" w:afterAutospacing="0" w:line="440" w:lineRule="exact"/>
        <w:ind w:firstLine="480" w:firstLineChars="200"/>
        <w:rPr>
          <w:rFonts w:asciiTheme="minorEastAsia" w:hAnsiTheme="minorEastAsia"/>
        </w:rPr>
      </w:pPr>
      <w:r>
        <w:rPr>
          <w:rFonts w:hint="eastAsia" w:asciiTheme="minorEastAsia" w:hAnsiTheme="minorEastAsia"/>
        </w:rPr>
        <w:t>进行废水测试，不仅帮助验证化学品管理成效，消除产品的有害物质合规风险，保护工人和环境的安全，提升和维护企业的社会形象，还可以在更广泛的层面上，向全球品牌商展示企业实力，为产品创造附加价值。</w:t>
      </w:r>
    </w:p>
    <w:p>
      <w:pPr>
        <w:pStyle w:val="7"/>
        <w:spacing w:beforeAutospacing="0" w:afterAutospacing="0" w:line="440" w:lineRule="exact"/>
        <w:ind w:firstLine="480" w:firstLineChars="200"/>
        <w:rPr>
          <w:rFonts w:asciiTheme="minorEastAsia" w:hAnsiTheme="minorEastAsia"/>
        </w:rPr>
      </w:pPr>
      <w:r>
        <w:rPr>
          <w:rFonts w:hint="eastAsia" w:asciiTheme="minorEastAsia" w:hAnsiTheme="minorEastAsia"/>
        </w:rPr>
        <w:t>S</w:t>
      </w:r>
      <w:r>
        <w:rPr>
          <w:rFonts w:asciiTheme="minorEastAsia" w:hAnsiTheme="minorEastAsia"/>
        </w:rPr>
        <w:t>GS</w:t>
      </w:r>
      <w:r>
        <w:rPr>
          <w:rFonts w:hint="eastAsia" w:asciiTheme="minorEastAsia" w:hAnsiTheme="minorEastAsia"/>
        </w:rPr>
        <w:t>作为Z</w:t>
      </w:r>
      <w:r>
        <w:rPr>
          <w:rFonts w:asciiTheme="minorEastAsia" w:hAnsiTheme="minorEastAsia"/>
        </w:rPr>
        <w:t>DHC</w:t>
      </w:r>
      <w:r>
        <w:rPr>
          <w:rFonts w:hint="eastAsia" w:asciiTheme="minorEastAsia" w:hAnsiTheme="minorEastAsia"/>
        </w:rPr>
        <w:t>认可的废水测试实验室，拥有先进的分析仪器、完善齐全的测试能力，可提供全方位的废水测试服务</w:t>
      </w:r>
    </w:p>
    <w:p>
      <w:pPr>
        <w:pStyle w:val="7"/>
        <w:numPr>
          <w:ilvl w:val="0"/>
          <w:numId w:val="2"/>
        </w:numPr>
        <w:spacing w:beforeAutospacing="0" w:afterAutospacing="0" w:line="440" w:lineRule="exact"/>
        <w:ind w:left="0" w:firstLine="480" w:firstLineChars="200"/>
        <w:rPr>
          <w:rFonts w:asciiTheme="minorEastAsia" w:hAnsiTheme="minorEastAsia"/>
        </w:rPr>
      </w:pPr>
      <w:r>
        <w:rPr>
          <w:rFonts w:hint="eastAsia" w:asciiTheme="minorEastAsia" w:hAnsiTheme="minorEastAsia"/>
        </w:rPr>
        <w:t>D</w:t>
      </w:r>
      <w:r>
        <w:rPr>
          <w:rFonts w:asciiTheme="minorEastAsia" w:hAnsiTheme="minorEastAsia"/>
        </w:rPr>
        <w:t>ETOX</w:t>
      </w:r>
      <w:r>
        <w:rPr>
          <w:rFonts w:hint="eastAsia" w:asciiTheme="minorEastAsia" w:hAnsiTheme="minorEastAsia"/>
        </w:rPr>
        <w:t>废水测试</w:t>
      </w:r>
    </w:p>
    <w:p>
      <w:pPr>
        <w:pStyle w:val="7"/>
        <w:numPr>
          <w:ilvl w:val="0"/>
          <w:numId w:val="2"/>
        </w:numPr>
        <w:spacing w:beforeAutospacing="0" w:afterAutospacing="0" w:line="440" w:lineRule="exact"/>
        <w:ind w:left="0" w:firstLine="480" w:firstLineChars="200"/>
        <w:rPr>
          <w:rFonts w:asciiTheme="minorEastAsia" w:hAnsiTheme="minorEastAsia"/>
        </w:rPr>
      </w:pPr>
      <w:r>
        <w:rPr>
          <w:rFonts w:hint="eastAsia" w:asciiTheme="minorEastAsia" w:hAnsiTheme="minorEastAsia"/>
        </w:rPr>
        <w:t>Z</w:t>
      </w:r>
      <w:r>
        <w:rPr>
          <w:rFonts w:asciiTheme="minorEastAsia" w:hAnsiTheme="minorEastAsia"/>
        </w:rPr>
        <w:t>DHC</w:t>
      </w:r>
      <w:r>
        <w:rPr>
          <w:rFonts w:hint="eastAsia" w:asciiTheme="minorEastAsia" w:hAnsiTheme="minorEastAsia"/>
        </w:rPr>
        <w:t>废水测试</w:t>
      </w:r>
    </w:p>
    <w:p>
      <w:pPr>
        <w:pStyle w:val="7"/>
        <w:spacing w:beforeAutospacing="0" w:afterAutospacing="0" w:line="440" w:lineRule="exact"/>
        <w:rPr>
          <w:rFonts w:asciiTheme="minorEastAsia" w:hAnsiTheme="minorEastAsia"/>
        </w:rPr>
      </w:pPr>
      <w:r>
        <w:rPr>
          <w:rFonts w:asciiTheme="minorEastAsia" w:hAnsiTheme="minorEastAsia"/>
        </w:rPr>
        <w:drawing>
          <wp:anchor distT="0" distB="0" distL="114300" distR="114300" simplePos="0" relativeHeight="251659264" behindDoc="0" locked="0" layoutInCell="1" allowOverlap="1">
            <wp:simplePos x="0" y="0"/>
            <wp:positionH relativeFrom="column">
              <wp:posOffset>-104775</wp:posOffset>
            </wp:positionH>
            <wp:positionV relativeFrom="paragraph">
              <wp:posOffset>127000</wp:posOffset>
            </wp:positionV>
            <wp:extent cx="3009900" cy="1752600"/>
            <wp:effectExtent l="0" t="0" r="0" b="0"/>
            <wp:wrapNone/>
            <wp:docPr id="4" name="Picture 4" descr="Chart,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hart, shape&#10;&#10;Description automatically generated"/>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3009900" cy="1752600"/>
                    </a:xfrm>
                    <a:prstGeom prst="rect">
                      <a:avLst/>
                    </a:prstGeom>
                  </pic:spPr>
                </pic:pic>
              </a:graphicData>
            </a:graphic>
          </wp:anchor>
        </w:drawing>
      </w:r>
    </w:p>
    <w:p>
      <w:pPr>
        <w:pStyle w:val="7"/>
        <w:spacing w:beforeAutospacing="0" w:afterAutospacing="0" w:line="440" w:lineRule="exact"/>
        <w:rPr>
          <w:rFonts w:asciiTheme="minorEastAsia" w:hAnsiTheme="minorEastAsia"/>
        </w:rPr>
      </w:pPr>
    </w:p>
    <w:p>
      <w:pPr>
        <w:pStyle w:val="7"/>
        <w:spacing w:beforeAutospacing="0" w:afterAutospacing="0" w:line="440" w:lineRule="exact"/>
        <w:rPr>
          <w:rFonts w:asciiTheme="minorEastAsia" w:hAnsiTheme="minorEastAsia"/>
        </w:rPr>
      </w:pPr>
    </w:p>
    <w:p>
      <w:pPr>
        <w:pStyle w:val="7"/>
        <w:spacing w:beforeAutospacing="0" w:afterAutospacing="0" w:line="440" w:lineRule="exact"/>
        <w:rPr>
          <w:rFonts w:asciiTheme="minorEastAsia" w:hAnsiTheme="minorEastAsia"/>
        </w:rPr>
      </w:pPr>
    </w:p>
    <w:p>
      <w:pPr>
        <w:pStyle w:val="7"/>
        <w:spacing w:beforeAutospacing="0" w:afterAutospacing="0" w:line="440" w:lineRule="exact"/>
        <w:rPr>
          <w:rFonts w:asciiTheme="minorEastAsia" w:hAnsiTheme="minorEastAsia"/>
        </w:rPr>
      </w:pPr>
    </w:p>
    <w:p>
      <w:pPr>
        <w:pStyle w:val="7"/>
        <w:spacing w:beforeAutospacing="0" w:afterAutospacing="0" w:line="440" w:lineRule="exact"/>
        <w:rPr>
          <w:rFonts w:asciiTheme="minorEastAsia" w:hAnsiTheme="minorEastAsia"/>
        </w:rPr>
      </w:pPr>
    </w:p>
    <w:p>
      <w:pPr>
        <w:pStyle w:val="7"/>
        <w:spacing w:beforeAutospacing="0" w:afterAutospacing="0" w:line="440" w:lineRule="exact"/>
        <w:ind w:firstLine="482" w:firstLineChars="200"/>
        <w:rPr>
          <w:rFonts w:asciiTheme="minorEastAsia" w:hAnsiTheme="minorEastAsia"/>
          <w:b/>
          <w:bCs/>
        </w:rPr>
      </w:pPr>
      <w:r>
        <w:rPr>
          <w:rFonts w:hint="eastAsia" w:asciiTheme="minorEastAsia" w:hAnsiTheme="minorEastAsia"/>
          <w:b/>
          <w:bCs/>
        </w:rPr>
        <w:t>S</w:t>
      </w:r>
      <w:r>
        <w:rPr>
          <w:rFonts w:asciiTheme="minorEastAsia" w:hAnsiTheme="minorEastAsia"/>
          <w:b/>
          <w:bCs/>
        </w:rPr>
        <w:t>GS</w:t>
      </w:r>
      <w:r>
        <w:rPr>
          <w:rFonts w:hint="eastAsia" w:asciiTheme="minorEastAsia" w:hAnsiTheme="minorEastAsia"/>
          <w:b/>
          <w:bCs/>
        </w:rPr>
        <w:t>再循环验证服务</w:t>
      </w:r>
    </w:p>
    <w:p>
      <w:pPr>
        <w:pStyle w:val="7"/>
        <w:spacing w:beforeAutospacing="0" w:afterAutospacing="0" w:line="440" w:lineRule="exact"/>
        <w:ind w:firstLine="480" w:firstLineChars="200"/>
        <w:rPr>
          <w:rFonts w:asciiTheme="minorEastAsia" w:hAnsiTheme="minorEastAsia"/>
        </w:rPr>
      </w:pPr>
      <w:r>
        <w:rPr>
          <w:rFonts w:hint="eastAsia" w:asciiTheme="minorEastAsia" w:hAnsiTheme="minorEastAsia"/>
        </w:rPr>
        <w:t>除了化学品对环境的危害以外，现今各种塑料、橡胶、纺织材料制成的衣物、鞋、包等制品已成为人们生活中不可缺的一部分，与此同时各种固体废弃物的年产量也触目惊心。材料的重复使用有助于减少对不可再生资源的依赖，再循环将赋予它们全新的价值，有助于环境和社会的可持续发展。目前，再循环材料已被越来越多的品牌买家及消费者所关注和认可，并成为市场趋势。各大品牌开始推出使用再循环材料的产品，同时，对其供应链提出使用再循环材料并需获得相应验证或认证的要求。</w:t>
      </w:r>
    </w:p>
    <w:p>
      <w:pPr>
        <w:pStyle w:val="7"/>
        <w:spacing w:beforeAutospacing="0" w:afterAutospacing="0" w:line="440" w:lineRule="exact"/>
        <w:ind w:firstLine="480" w:firstLineChars="200"/>
        <w:rPr>
          <w:rFonts w:asciiTheme="minorEastAsia" w:hAnsiTheme="minorEastAsia"/>
        </w:rPr>
      </w:pPr>
      <w:r>
        <w:rPr>
          <w:rFonts w:hint="eastAsia" w:asciiTheme="minorEastAsia" w:hAnsiTheme="minorEastAsia"/>
        </w:rPr>
        <w:t>S</w:t>
      </w:r>
      <w:r>
        <w:rPr>
          <w:rFonts w:asciiTheme="minorEastAsia" w:hAnsiTheme="minorEastAsia"/>
        </w:rPr>
        <w:t>GS</w:t>
      </w:r>
      <w:r>
        <w:rPr>
          <w:rFonts w:hint="eastAsia" w:asciiTheme="minorEastAsia" w:hAnsiTheme="minorEastAsia"/>
        </w:rPr>
        <w:t>的再循环验证服务:</w:t>
      </w:r>
    </w:p>
    <w:p>
      <w:pPr>
        <w:pStyle w:val="7"/>
        <w:numPr>
          <w:ilvl w:val="2"/>
          <w:numId w:val="1"/>
        </w:numPr>
        <w:spacing w:beforeAutospacing="0" w:afterAutospacing="0" w:line="440" w:lineRule="exact"/>
        <w:ind w:left="0" w:firstLine="480" w:firstLineChars="200"/>
        <w:rPr>
          <w:rFonts w:asciiTheme="minorEastAsia" w:hAnsiTheme="minorEastAsia"/>
        </w:rPr>
      </w:pPr>
      <w:r>
        <w:rPr>
          <w:rFonts w:hint="eastAsia" w:asciiTheme="minorEastAsia" w:hAnsiTheme="minorEastAsia"/>
        </w:rPr>
        <w:t>对再循环材料的制造流程或使用再循环材料生产产品的制造流程进行验证；</w:t>
      </w:r>
    </w:p>
    <w:p>
      <w:pPr>
        <w:pStyle w:val="7"/>
        <w:numPr>
          <w:ilvl w:val="2"/>
          <w:numId w:val="1"/>
        </w:numPr>
        <w:spacing w:beforeAutospacing="0" w:afterAutospacing="0" w:line="440" w:lineRule="exact"/>
        <w:ind w:left="0" w:firstLine="480" w:firstLineChars="200"/>
        <w:rPr>
          <w:rFonts w:asciiTheme="minorEastAsia" w:hAnsiTheme="minorEastAsia"/>
        </w:rPr>
      </w:pPr>
      <w:r>
        <w:rPr>
          <w:rFonts w:hint="eastAsia" w:asciiTheme="minorEastAsia" w:hAnsiTheme="minorEastAsia"/>
        </w:rPr>
        <w:t>证明其再循环身份，并可验证其再循环材料的含量。</w:t>
      </w:r>
    </w:p>
    <w:p>
      <w:pPr>
        <w:pStyle w:val="7"/>
        <w:spacing w:beforeAutospacing="0" w:afterAutospacing="0" w:line="440" w:lineRule="exact"/>
        <w:ind w:firstLine="480" w:firstLineChars="200"/>
        <w:rPr>
          <w:rFonts w:asciiTheme="minorEastAsia" w:hAnsiTheme="minorEastAsia"/>
        </w:rPr>
      </w:pPr>
      <w:r>
        <w:rPr>
          <w:rFonts w:hint="eastAsia" w:asciiTheme="minorEastAsia" w:hAnsiTheme="minorEastAsia"/>
        </w:rPr>
        <w:t>S</w:t>
      </w:r>
      <w:r>
        <w:rPr>
          <w:rFonts w:asciiTheme="minorEastAsia" w:hAnsiTheme="minorEastAsia"/>
        </w:rPr>
        <w:t>GS</w:t>
      </w:r>
      <w:r>
        <w:rPr>
          <w:rFonts w:hint="eastAsia" w:asciiTheme="minorEastAsia" w:hAnsiTheme="minorEastAsia"/>
        </w:rPr>
        <w:t>集团创建于1</w:t>
      </w:r>
      <w:r>
        <w:rPr>
          <w:rFonts w:asciiTheme="minorEastAsia" w:hAnsiTheme="minorEastAsia"/>
        </w:rPr>
        <w:t>878</w:t>
      </w:r>
      <w:r>
        <w:rPr>
          <w:rFonts w:hint="eastAsia" w:asciiTheme="minorEastAsia" w:hAnsiTheme="minorEastAsia"/>
        </w:rPr>
        <w:t>年，是国际公认的检验、鉴定、测试和认证服务的领导者和创新者，是公认的质量和诚信基准。SGS在可持续及化学品管理领域拥有丰富的专业知识、经验和遍布全球的服务网络，长期为众多国内外著名品牌、零售商、供应商及化学品生产商提供全方位的技术服务，可以为业内企业提供一站式解决方案。</w:t>
      </w:r>
    </w:p>
    <w:p>
      <w:pPr>
        <w:pStyle w:val="7"/>
        <w:spacing w:beforeAutospacing="0" w:afterAutospacing="0" w:line="440" w:lineRule="exact"/>
        <w:rPr>
          <w:rFonts w:asciiTheme="minorEastAsia" w:hAnsiTheme="minorEastAsia"/>
        </w:rPr>
        <w:sectPr>
          <w:type w:val="continuous"/>
          <w:pgSz w:w="11906" w:h="16838"/>
          <w:pgMar w:top="1440" w:right="1800" w:bottom="1440" w:left="1800" w:header="851" w:footer="992" w:gutter="0"/>
          <w:cols w:space="425" w:num="2"/>
          <w:docGrid w:type="lines" w:linePitch="312" w:charSpace="0"/>
        </w:sectPr>
      </w:pPr>
    </w:p>
    <w:p>
      <w:pPr>
        <w:pStyle w:val="7"/>
        <w:spacing w:beforeAutospacing="0" w:afterAutospacing="0" w:line="440" w:lineRule="exact"/>
        <w:ind w:left="645" w:leftChars="250" w:hanging="120" w:hangingChars="50"/>
        <w:rPr>
          <w:rFonts w:asciiTheme="minorEastAsia" w:hAnsiTheme="minorEastAsia"/>
        </w:rPr>
      </w:pPr>
      <w:r>
        <w:rPr>
          <w:rFonts w:hint="eastAsia" w:asciiTheme="minorEastAsia" w:hAnsiTheme="minorEastAsia"/>
        </w:rPr>
        <w:t>1</w:t>
      </w:r>
      <w:r>
        <w:rPr>
          <w:rFonts w:asciiTheme="minorEastAsia" w:hAnsiTheme="minorEastAsia"/>
        </w:rPr>
        <w:t>. 联合国欧洲经济委员会</w:t>
      </w:r>
      <w:r>
        <w:fldChar w:fldCharType="begin"/>
      </w:r>
      <w:r>
        <w:instrText xml:space="preserve"> HYPERLINK "https://unece.org/trade/uncefact/31stuncefactforum_tfsustextile" </w:instrText>
      </w:r>
      <w:r>
        <w:fldChar w:fldCharType="separate"/>
      </w:r>
      <w:r>
        <w:rPr>
          <w:rStyle w:val="10"/>
          <w:rFonts w:asciiTheme="minorEastAsia" w:hAnsiTheme="minorEastAsia"/>
        </w:rPr>
        <w:t>https://unece.org/trade/uncefact/31stuncefactforum_tfsustextile</w:t>
      </w:r>
      <w:r>
        <w:rPr>
          <w:rStyle w:val="10"/>
          <w:rFonts w:asciiTheme="minorEastAsia" w:hAnsiTheme="minorEastAsia"/>
        </w:rPr>
        <w:fldChar w:fldCharType="end"/>
      </w:r>
    </w:p>
    <w:p>
      <w:pPr>
        <w:pStyle w:val="7"/>
        <w:spacing w:beforeAutospacing="0" w:afterAutospacing="0" w:line="440" w:lineRule="exact"/>
        <w:ind w:left="645" w:leftChars="250" w:hanging="120" w:hangingChars="50"/>
        <w:rPr>
          <w:rFonts w:asciiTheme="minorEastAsia" w:hAnsiTheme="minorEastAsia"/>
        </w:rPr>
      </w:pPr>
      <w:r>
        <w:rPr>
          <w:rFonts w:asciiTheme="minorEastAsia" w:hAnsiTheme="minorEastAsia"/>
        </w:rPr>
        <w:t>2.ZDHC</w:t>
      </w:r>
      <w:r>
        <w:rPr>
          <w:rFonts w:hint="eastAsia" w:asciiTheme="minorEastAsia" w:hAnsiTheme="minorEastAsia"/>
        </w:rPr>
        <w:t>官网</w:t>
      </w:r>
    </w:p>
    <w:p>
      <w:pPr>
        <w:pStyle w:val="7"/>
        <w:spacing w:beforeAutospacing="0" w:afterAutospacing="0" w:line="440" w:lineRule="exact"/>
        <w:ind w:left="630" w:leftChars="300"/>
        <w:rPr>
          <w:rFonts w:asciiTheme="minorEastAsia" w:hAnsiTheme="minorEastAsia"/>
        </w:rPr>
      </w:pPr>
      <w:r>
        <w:fldChar w:fldCharType="begin"/>
      </w:r>
      <w:r>
        <w:instrText xml:space="preserve"> HYPERLINK "https://www.roadmaptozero.com/about" </w:instrText>
      </w:r>
      <w:r>
        <w:fldChar w:fldCharType="separate"/>
      </w:r>
      <w:r>
        <w:rPr>
          <w:rStyle w:val="10"/>
          <w:rFonts w:asciiTheme="minorEastAsia" w:hAnsiTheme="minorEastAsia"/>
        </w:rPr>
        <w:t>https://www.roadmaptozero.com/about</w:t>
      </w:r>
      <w:r>
        <w:rPr>
          <w:rStyle w:val="10"/>
          <w:rFonts w:asciiTheme="minorEastAsia" w:hAnsiTheme="minorEastAsia"/>
        </w:rPr>
        <w:fldChar w:fldCharType="end"/>
      </w:r>
    </w:p>
    <w:p>
      <w:pPr>
        <w:rPr>
          <w:rFonts w:asciiTheme="minorEastAsia" w:hAnsiTheme="minorEastAsia"/>
          <w:sz w:val="24"/>
          <w:szCs w:val="24"/>
        </w:rPr>
      </w:pPr>
    </w:p>
    <w:p>
      <w:pPr>
        <w:rPr>
          <w:rFonts w:asciiTheme="minorEastAsia" w:hAnsiTheme="minorEastAsia"/>
          <w:sz w:val="24"/>
          <w:szCs w:val="24"/>
        </w:rPr>
      </w:pPr>
    </w:p>
    <w:p>
      <w:pPr>
        <w:rPr>
          <w:rFonts w:asciiTheme="minorEastAsia" w:hAnsiTheme="minorEastAsia"/>
          <w:sz w:val="24"/>
          <w:szCs w:val="24"/>
        </w:rPr>
      </w:pPr>
    </w:p>
    <w:p>
      <w:pPr>
        <w:rPr>
          <w:rFonts w:asciiTheme="minorEastAsia" w:hAnsiTheme="minorEastAsia"/>
          <w:sz w:val="24"/>
          <w:szCs w:val="24"/>
        </w:rPr>
      </w:pPr>
    </w:p>
    <w:p>
      <w:pPr>
        <w:rPr>
          <w:rFonts w:asciiTheme="minorEastAsia" w:hAnsiTheme="minorEastAsia"/>
          <w:sz w:val="24"/>
          <w:szCs w:val="24"/>
        </w:rPr>
      </w:pPr>
    </w:p>
    <w:p>
      <w:pPr>
        <w:rPr>
          <w:rFonts w:asciiTheme="minorEastAsia" w:hAnsiTheme="minorEastAsia"/>
          <w:sz w:val="24"/>
          <w:szCs w:val="24"/>
        </w:rPr>
      </w:pPr>
    </w:p>
    <w:p>
      <w:pPr>
        <w:rPr>
          <w:rFonts w:asciiTheme="minorEastAsia" w:hAnsiTheme="minorEastAsia"/>
          <w:sz w:val="24"/>
          <w:szCs w:val="24"/>
        </w:rPr>
      </w:pPr>
    </w:p>
    <w:p>
      <w:pPr>
        <w:rPr>
          <w:rFonts w:asciiTheme="minorEastAsia" w:hAnsiTheme="minorEastAsia"/>
          <w:sz w:val="24"/>
          <w:szCs w:val="24"/>
        </w:rPr>
      </w:pPr>
    </w:p>
    <w:p>
      <w:pPr>
        <w:rPr>
          <w:rFonts w:asciiTheme="minorEastAsia" w:hAnsiTheme="minorEastAsia"/>
          <w:sz w:val="24"/>
          <w:szCs w:val="24"/>
        </w:rPr>
      </w:pPr>
    </w:p>
    <w:p>
      <w:pPr>
        <w:rPr>
          <w:rFonts w:asciiTheme="minorEastAsia" w:hAnsiTheme="minorEastAsia"/>
          <w:sz w:val="24"/>
          <w:szCs w:val="24"/>
        </w:rPr>
      </w:pPr>
    </w:p>
    <w:p>
      <w:pPr>
        <w:rPr>
          <w:rFonts w:asciiTheme="minorEastAsia" w:hAnsiTheme="minorEastAsia"/>
          <w:sz w:val="24"/>
          <w:szCs w:val="24"/>
        </w:rPr>
      </w:pPr>
    </w:p>
    <w:p>
      <w:pPr>
        <w:rPr>
          <w:rFonts w:asciiTheme="minorEastAsia" w:hAnsiTheme="minorEastAsia"/>
          <w:sz w:val="24"/>
          <w:szCs w:val="24"/>
        </w:rPr>
      </w:pPr>
    </w:p>
    <w:p>
      <w:pPr>
        <w:rPr>
          <w:rFonts w:asciiTheme="minorEastAsia" w:hAnsiTheme="minorEastAsia"/>
          <w:sz w:val="24"/>
          <w:szCs w:val="24"/>
        </w:rPr>
      </w:pPr>
    </w:p>
    <w:p>
      <w:pPr>
        <w:rPr>
          <w:rFonts w:hint="eastAsia" w:ascii="华文彩云" w:hAnsi="宋体" w:eastAsia="华文彩云"/>
          <w:sz w:val="36"/>
          <w:szCs w:val="36"/>
        </w:rPr>
      </w:pPr>
      <w:r>
        <w:rPr>
          <w:rFonts w:hint="eastAsia" w:ascii="华文彩云" w:hAnsi="宋体" w:eastAsia="华文彩云"/>
          <w:sz w:val="36"/>
          <w:szCs w:val="36"/>
        </w:rPr>
        <w:br w:type="page"/>
      </w:r>
    </w:p>
    <w:p>
      <w:pPr>
        <w:rPr>
          <w:rFonts w:hint="eastAsia" w:ascii="华文彩云" w:hAnsi="宋体" w:eastAsia="华文彩云"/>
          <w:sz w:val="36"/>
          <w:szCs w:val="36"/>
        </w:rPr>
      </w:pPr>
    </w:p>
    <w:p>
      <w:pPr>
        <w:rPr>
          <w:rFonts w:ascii="华文彩云" w:eastAsia="华文彩云"/>
          <w:sz w:val="36"/>
          <w:szCs w:val="36"/>
        </w:rPr>
      </w:pPr>
      <w:r>
        <w:rPr>
          <w:rFonts w:hint="eastAsia" w:ascii="华文彩云" w:hAnsi="宋体" w:eastAsia="华文彩云"/>
          <w:sz w:val="36"/>
          <w:szCs w:val="36"/>
        </w:rPr>
        <w:t>◎</w:t>
      </w:r>
      <w:r>
        <w:rPr>
          <w:rFonts w:hint="eastAsia" w:ascii="华文彩云" w:eastAsia="华文彩云"/>
          <w:b/>
          <w:sz w:val="36"/>
          <w:szCs w:val="36"/>
        </w:rPr>
        <w:t>风向标</w:t>
      </w:r>
    </w:p>
    <w:p>
      <w:pPr>
        <w:spacing w:line="440" w:lineRule="exact"/>
        <w:jc w:val="left"/>
        <w:rPr>
          <w:rFonts w:cs="Times New Roman" w:asciiTheme="minorEastAsia" w:hAnsiTheme="minorEastAsia"/>
          <w:sz w:val="24"/>
          <w:szCs w:val="24"/>
        </w:rPr>
      </w:pPr>
    </w:p>
    <w:p>
      <w:pPr>
        <w:spacing w:line="440" w:lineRule="exact"/>
        <w:jc w:val="center"/>
        <w:rPr>
          <w:rFonts w:hint="eastAsia" w:ascii="华文细黑" w:hAnsi="华文细黑" w:eastAsia="华文细黑" w:cs="华文细黑"/>
          <w:sz w:val="28"/>
          <w:szCs w:val="28"/>
        </w:rPr>
      </w:pPr>
      <w:r>
        <w:rPr>
          <w:rFonts w:hint="eastAsia" w:ascii="华文细黑" w:hAnsi="华文细黑" w:eastAsia="华文细黑" w:cs="华文细黑"/>
          <w:sz w:val="28"/>
          <w:szCs w:val="28"/>
        </w:rPr>
        <w:t>883项商品进口关税即将调整</w:t>
      </w:r>
    </w:p>
    <w:p>
      <w:pPr>
        <w:jc w:val="center"/>
        <w:rPr>
          <w:rFonts w:hint="eastAsia" w:ascii="楷体_GB2312" w:eastAsia="楷体_GB2312" w:hAnsiTheme="minorEastAsia"/>
          <w:b/>
          <w:bCs/>
          <w:sz w:val="36"/>
          <w:szCs w:val="36"/>
        </w:rPr>
      </w:pPr>
      <w:r>
        <w:rPr>
          <w:rFonts w:hint="eastAsia" w:ascii="楷体_GB2312" w:eastAsia="楷体_GB2312" w:hAnsiTheme="minorEastAsia"/>
          <w:b/>
          <w:bCs/>
          <w:sz w:val="36"/>
          <w:szCs w:val="36"/>
        </w:rPr>
        <w:t>全景透视宁波的机遇与挑战</w:t>
      </w:r>
    </w:p>
    <w:p>
      <w:pPr>
        <w:spacing w:line="440" w:lineRule="exact"/>
        <w:ind w:firstLine="480"/>
        <w:jc w:val="center"/>
        <w:rPr>
          <w:rFonts w:asciiTheme="minorEastAsia" w:hAnsiTheme="minorEastAsia"/>
          <w:sz w:val="36"/>
          <w:szCs w:val="36"/>
        </w:rPr>
      </w:pPr>
    </w:p>
    <w:p>
      <w:pPr>
        <w:spacing w:line="440" w:lineRule="exact"/>
        <w:ind w:firstLine="480" w:firstLineChars="200"/>
        <w:rPr>
          <w:rFonts w:asciiTheme="minorEastAsia" w:hAnsiTheme="minorEastAsia"/>
          <w:sz w:val="24"/>
          <w:szCs w:val="24"/>
        </w:rPr>
        <w:sectPr>
          <w:type w:val="continuous"/>
          <w:pgSz w:w="11906" w:h="16838"/>
          <w:pgMar w:top="1440" w:right="1800" w:bottom="1440" w:left="1800" w:header="851" w:footer="992" w:gutter="0"/>
          <w:cols w:space="425" w:num="1"/>
          <w:docGrid w:type="lines" w:linePitch="312" w:charSpace="0"/>
        </w:sectPr>
      </w:pPr>
    </w:p>
    <w:p>
      <w:pPr>
        <w:spacing w:line="440" w:lineRule="exact"/>
        <w:ind w:firstLine="480" w:firstLineChars="200"/>
        <w:rPr>
          <w:rFonts w:asciiTheme="minorEastAsia" w:hAnsiTheme="minorEastAsia"/>
          <w:sz w:val="24"/>
          <w:szCs w:val="24"/>
        </w:rPr>
      </w:pPr>
      <w:r>
        <w:rPr>
          <w:rFonts w:hint="eastAsia" w:asciiTheme="minorEastAsia" w:hAnsiTheme="minorEastAsia"/>
          <w:sz w:val="24"/>
          <w:szCs w:val="24"/>
        </w:rPr>
        <w:t>12月23日下午3时，宁波拜特新能源技术有限公司采购总监方钰霆等来一个意想不到的好消息。国务院关税税则委员会下发通知，自2021年1月1日起，我国将对883项商品实施低于最惠国税率的进口暂定税率。其中，燃料电池循环泵、铝碳化硅基板等新基建或高新技术产业所需的部分设备、零部件关税将进一步降低。方钰霆的第一反应是，自家生产的测试设备，生产成本因此可以降低5%至10%。</w:t>
      </w:r>
    </w:p>
    <w:p>
      <w:pPr>
        <w:spacing w:line="440" w:lineRule="exact"/>
        <w:ind w:firstLine="480" w:firstLineChars="200"/>
        <w:rPr>
          <w:rFonts w:asciiTheme="minorEastAsia" w:hAnsiTheme="minorEastAsia"/>
          <w:sz w:val="24"/>
          <w:szCs w:val="24"/>
        </w:rPr>
      </w:pPr>
      <w:r>
        <w:rPr>
          <w:rFonts w:hint="eastAsia" w:asciiTheme="minorEastAsia" w:hAnsiTheme="minorEastAsia"/>
          <w:sz w:val="24"/>
          <w:szCs w:val="24"/>
        </w:rPr>
        <w:t>每到年末，我国根据经济社会发展情况，从惠民生和促经济两大角度，对部分进口商品的关税税率进行调整。市商务局贸管处处长李旭君表示，与以往的历次调整相比，此次降税更加侧重于吸引全球资源要素，助力构建双循环发展格局：既满足国内需求，提升产业技术发展水平，促进形成宏大顺畅的国内经济循环，也为各国提供广阔市场，联通内外市场，推动合作共赢。</w:t>
      </w:r>
    </w:p>
    <w:p>
      <w:pPr>
        <w:spacing w:line="440" w:lineRule="exact"/>
        <w:ind w:firstLine="480" w:firstLineChars="200"/>
        <w:rPr>
          <w:rFonts w:asciiTheme="minorEastAsia" w:hAnsiTheme="minorEastAsia"/>
          <w:sz w:val="24"/>
          <w:szCs w:val="24"/>
        </w:rPr>
      </w:pPr>
      <w:r>
        <w:rPr>
          <w:rFonts w:hint="eastAsia" w:asciiTheme="minorEastAsia" w:hAnsiTheme="minorEastAsia"/>
          <w:sz w:val="24"/>
          <w:szCs w:val="24"/>
        </w:rPr>
        <w:t>在构建双循环新发展格局背景下，宁波人眼中的进口关税调整，如汇聚人流、物流、资金流的比武场，能听机遇，能见挑战，而这些心声最终化为一个个鲜活案例，勾勒出促经济和惠民生两大主题。</w:t>
      </w:r>
    </w:p>
    <w:p>
      <w:pPr>
        <w:spacing w:line="440" w:lineRule="exact"/>
        <w:ind w:firstLine="480" w:firstLineChars="200"/>
        <w:rPr>
          <w:rFonts w:asciiTheme="minorEastAsia" w:hAnsiTheme="minorEastAsia"/>
          <w:sz w:val="24"/>
          <w:szCs w:val="24"/>
        </w:rPr>
      </w:pPr>
      <w:r>
        <w:rPr>
          <w:rFonts w:hint="eastAsia" w:asciiTheme="minorEastAsia" w:hAnsiTheme="minorEastAsia"/>
          <w:sz w:val="24"/>
          <w:szCs w:val="24"/>
        </w:rPr>
        <w:t>看成本 “宁波制造”提升内外竞争力</w:t>
      </w:r>
    </w:p>
    <w:p>
      <w:pPr>
        <w:spacing w:line="440" w:lineRule="exact"/>
        <w:ind w:firstLine="480" w:firstLineChars="200"/>
        <w:rPr>
          <w:rFonts w:asciiTheme="minorEastAsia" w:hAnsiTheme="minorEastAsia"/>
          <w:sz w:val="24"/>
          <w:szCs w:val="24"/>
        </w:rPr>
      </w:pPr>
      <w:r>
        <w:rPr>
          <w:rFonts w:hint="eastAsia" w:asciiTheme="minorEastAsia" w:hAnsiTheme="minorEastAsia"/>
          <w:sz w:val="24"/>
          <w:szCs w:val="24"/>
        </w:rPr>
        <w:t>“随着循环泵、电机、压力阀、压力传感器、隔膜泵等原材料产品关税的降低，我们企业即将迎来高质量发展的黄金期。”进口关税调整的附件细则出台才1天，方钰霆已是如数家珍。</w:t>
      </w:r>
    </w:p>
    <w:p>
      <w:pPr>
        <w:spacing w:line="440" w:lineRule="exact"/>
        <w:ind w:firstLine="480" w:firstLineChars="200"/>
        <w:rPr>
          <w:rFonts w:asciiTheme="minorEastAsia" w:hAnsiTheme="minorEastAsia"/>
          <w:sz w:val="24"/>
          <w:szCs w:val="24"/>
        </w:rPr>
      </w:pPr>
      <w:r>
        <w:rPr>
          <w:rFonts w:hint="eastAsia" w:asciiTheme="minorEastAsia" w:hAnsiTheme="minorEastAsia"/>
          <w:sz w:val="24"/>
          <w:szCs w:val="24"/>
        </w:rPr>
        <w:t xml:space="preserve">由于燃料电池在国内刚刚起步，目前拜特新能源的原材料50%需要从国外进口。关税的降低将进一步减少拜特新能源的生产成本，提升产品的竞争力。据初步估算，此次关税的降低将每年为该企业节省5%至10%的生产成本。方钰霆说，随着国内产能的加速恢复，企业的生产线已开足马力，满负荷生产。 </w:t>
      </w:r>
    </w:p>
    <w:p>
      <w:pPr>
        <w:spacing w:line="440" w:lineRule="exact"/>
        <w:ind w:firstLine="480" w:firstLineChars="200"/>
        <w:rPr>
          <w:rFonts w:asciiTheme="minorEastAsia" w:hAnsiTheme="minorEastAsia"/>
          <w:sz w:val="24"/>
          <w:szCs w:val="24"/>
        </w:rPr>
      </w:pPr>
      <w:r>
        <w:rPr>
          <w:rFonts w:hint="eastAsia" w:asciiTheme="minorEastAsia" w:hAnsiTheme="minorEastAsia"/>
          <w:sz w:val="24"/>
          <w:szCs w:val="24"/>
        </w:rPr>
        <w:t>“几天前，我们刚刚完成了一汽的订单，现在手头仍有10多个订单正在加紧生产中。”方钰霆说，公司的订单目前已排至明年3月，燃料电池发展正处于上升期，随着关税的降低，他对公司的未来发展充满了希望。</w:t>
      </w:r>
    </w:p>
    <w:p>
      <w:pPr>
        <w:spacing w:line="440" w:lineRule="exact"/>
        <w:ind w:firstLine="480" w:firstLineChars="200"/>
        <w:rPr>
          <w:rFonts w:asciiTheme="minorEastAsia" w:hAnsiTheme="minorEastAsia"/>
          <w:sz w:val="24"/>
          <w:szCs w:val="24"/>
        </w:rPr>
      </w:pPr>
      <w:r>
        <w:rPr>
          <w:rFonts w:hint="eastAsia" w:asciiTheme="minorEastAsia" w:hAnsiTheme="minorEastAsia"/>
          <w:sz w:val="24"/>
          <w:szCs w:val="24"/>
        </w:rPr>
        <w:t>自己所在的赛道，突然被政策大“礼包”砸中，这样的“运气”往往令外界艳羡不已。但是所谓的运气背后，与企业高质量发展的长远布局密不可分。</w:t>
      </w:r>
    </w:p>
    <w:p>
      <w:pPr>
        <w:spacing w:line="440" w:lineRule="exact"/>
        <w:ind w:firstLine="480" w:firstLineChars="200"/>
        <w:rPr>
          <w:rFonts w:asciiTheme="minorEastAsia" w:hAnsiTheme="minorEastAsia"/>
          <w:sz w:val="24"/>
          <w:szCs w:val="24"/>
        </w:rPr>
      </w:pPr>
      <w:r>
        <w:rPr>
          <w:rFonts w:hint="eastAsia" w:asciiTheme="minorEastAsia" w:hAnsiTheme="minorEastAsia"/>
          <w:sz w:val="24"/>
          <w:szCs w:val="24"/>
        </w:rPr>
        <w:t>宁波拜特自2005年开始致力于新能源技术开发和产品的设计、生产、销售。2010年，中国宝安控股宁波拜特，公司向标准化生产和规范化管理的模式转变。</w:t>
      </w:r>
    </w:p>
    <w:p>
      <w:pPr>
        <w:spacing w:line="440" w:lineRule="exact"/>
        <w:ind w:firstLine="480" w:firstLineChars="200"/>
        <w:rPr>
          <w:rFonts w:asciiTheme="minorEastAsia" w:hAnsiTheme="minorEastAsia"/>
          <w:sz w:val="24"/>
          <w:szCs w:val="24"/>
        </w:rPr>
      </w:pPr>
      <w:r>
        <w:rPr>
          <w:rFonts w:hint="eastAsia" w:asciiTheme="minorEastAsia" w:hAnsiTheme="minorEastAsia"/>
          <w:sz w:val="24"/>
          <w:szCs w:val="24"/>
        </w:rPr>
        <w:t>2018年，宁波拜特推出的锂电池测试60V中压系列产品入选“宁波优质产品目录”，荣获“2018年度浙江省精品”称号。2019年，宁波拜特研制成功“80KW质子交换膜燃料电池电堆测试系统”，填补了此项技术的国内空白。如今，宁波拜特正潜心深耕氢能燃料电池测试系统领域，进一步开发国内中高端市场和国外市场。</w:t>
      </w:r>
    </w:p>
    <w:p>
      <w:pPr>
        <w:spacing w:line="440" w:lineRule="exact"/>
        <w:ind w:firstLine="480" w:firstLineChars="200"/>
        <w:rPr>
          <w:rFonts w:asciiTheme="minorEastAsia" w:hAnsiTheme="minorEastAsia"/>
          <w:sz w:val="24"/>
          <w:szCs w:val="24"/>
        </w:rPr>
      </w:pPr>
      <w:r>
        <w:rPr>
          <w:rFonts w:hint="eastAsia" w:asciiTheme="minorEastAsia" w:hAnsiTheme="minorEastAsia"/>
          <w:sz w:val="24"/>
          <w:szCs w:val="24"/>
        </w:rPr>
        <w:t>站在年末岁初的当口，不期而至的利好消息，也令越来越多的“宁波制造”对国内、国际市场有了新的认识。</w:t>
      </w:r>
    </w:p>
    <w:p>
      <w:pPr>
        <w:spacing w:line="440" w:lineRule="exact"/>
        <w:ind w:firstLine="480" w:firstLineChars="200"/>
        <w:rPr>
          <w:rFonts w:asciiTheme="minorEastAsia" w:hAnsiTheme="minorEastAsia"/>
          <w:sz w:val="24"/>
          <w:szCs w:val="24"/>
        </w:rPr>
      </w:pPr>
      <w:r>
        <w:rPr>
          <w:rFonts w:hint="eastAsia" w:asciiTheme="minorEastAsia" w:hAnsiTheme="minorEastAsia"/>
          <w:sz w:val="24"/>
          <w:szCs w:val="24"/>
        </w:rPr>
        <w:t>据市商务局统计，2020年度，我市涉及贴息支持的高端装备和机械设备进口额共计2.5亿美元，同比增长20%以上。通过发挥进口的产业配套、产业均衡作用，我市不少产业的关键零部件、核心基础材料、高端装备等取长补短，推动产业创新和转型升级。</w:t>
      </w:r>
    </w:p>
    <w:p>
      <w:pPr>
        <w:spacing w:line="440" w:lineRule="exact"/>
        <w:ind w:firstLine="480" w:firstLineChars="200"/>
        <w:rPr>
          <w:rFonts w:asciiTheme="minorEastAsia" w:hAnsiTheme="minorEastAsia"/>
          <w:sz w:val="24"/>
          <w:szCs w:val="24"/>
        </w:rPr>
      </w:pPr>
      <w:r>
        <w:rPr>
          <w:rFonts w:hint="eastAsia" w:asciiTheme="minorEastAsia" w:hAnsiTheme="minorEastAsia"/>
          <w:sz w:val="24"/>
          <w:szCs w:val="24"/>
        </w:rPr>
        <w:t>“制造业一直是宁波的‘家底’。当前，在转型升级、数字化发展、智能制造的内在外在要求下，企业加速推进高新技术产品，有助于提升产业的发展质量，促进外贸与制造的有机结合。”李旭君表示。从另一个角度看，竞争是市场配置资源的基础动力。进口能够丰富国内整体产品的供给，有助于优化竞争格局，倒逼国内企业加大研发投入、加强人才引进，加快技术进步、提高产品质量，这与当初家电市场放开进口有异曲同工之妙，可能会促进生产商进化迭代，加速供给侧改革。</w:t>
      </w:r>
    </w:p>
    <w:p>
      <w:pPr>
        <w:spacing w:line="440" w:lineRule="exact"/>
        <w:ind w:firstLine="480" w:firstLineChars="200"/>
        <w:rPr>
          <w:rFonts w:asciiTheme="minorEastAsia" w:hAnsiTheme="minorEastAsia"/>
          <w:sz w:val="24"/>
          <w:szCs w:val="24"/>
        </w:rPr>
      </w:pPr>
      <w:r>
        <w:rPr>
          <w:rFonts w:hint="eastAsia" w:asciiTheme="minorEastAsia" w:hAnsiTheme="minorEastAsia"/>
          <w:sz w:val="24"/>
          <w:szCs w:val="24"/>
        </w:rPr>
        <w:t>看贸易升降之间优化进口结构</w:t>
      </w:r>
    </w:p>
    <w:p>
      <w:pPr>
        <w:spacing w:line="440" w:lineRule="exact"/>
        <w:ind w:firstLine="480" w:firstLineChars="200"/>
        <w:rPr>
          <w:rFonts w:asciiTheme="minorEastAsia" w:hAnsiTheme="minorEastAsia"/>
          <w:sz w:val="24"/>
          <w:szCs w:val="24"/>
        </w:rPr>
      </w:pPr>
      <w:r>
        <w:rPr>
          <w:rFonts w:hint="eastAsia" w:asciiTheme="minorEastAsia" w:hAnsiTheme="minorEastAsia"/>
          <w:sz w:val="24"/>
          <w:szCs w:val="24"/>
        </w:rPr>
        <w:t>随着883项商品的进口税率调整，以及现下持续下跌的人民币对美元汇率，可以预见的是，在明年年初的一段时间内，进口市场将迎来发展的“黄金期”。 “近些年，很多进口商品由最惠国税率，转而适用于暂定税率、协定税率，从而大大降低了进口商的赋税压力，让我们外贸服务平台企业备受鼓舞。”宁波世贸通进口部副经理吴萌娜说。</w:t>
      </w:r>
    </w:p>
    <w:p>
      <w:pPr>
        <w:spacing w:line="440" w:lineRule="exact"/>
        <w:ind w:firstLine="480" w:firstLineChars="200"/>
        <w:rPr>
          <w:rFonts w:asciiTheme="minorEastAsia" w:hAnsiTheme="minorEastAsia"/>
          <w:sz w:val="24"/>
          <w:szCs w:val="24"/>
        </w:rPr>
      </w:pPr>
      <w:r>
        <w:rPr>
          <w:rFonts w:hint="eastAsia" w:asciiTheme="minorEastAsia" w:hAnsiTheme="minorEastAsia"/>
          <w:sz w:val="24"/>
          <w:szCs w:val="24"/>
        </w:rPr>
        <w:t>最惠国税率是我国对大多数国家进口货物适用的税率。暂定税率、协定税率是指对进出口的部分商品在一定期限内实施的关税税率，二者一般低于最惠国税率，是常见的自主调整关税的方式。</w:t>
      </w:r>
    </w:p>
    <w:p>
      <w:pPr>
        <w:spacing w:line="440" w:lineRule="exact"/>
        <w:ind w:firstLine="480" w:firstLineChars="200"/>
        <w:rPr>
          <w:rFonts w:asciiTheme="minorEastAsia" w:hAnsiTheme="minorEastAsia"/>
          <w:sz w:val="24"/>
          <w:szCs w:val="24"/>
        </w:rPr>
      </w:pPr>
      <w:r>
        <w:rPr>
          <w:rFonts w:hint="eastAsia" w:asciiTheme="minorEastAsia" w:hAnsiTheme="minorEastAsia"/>
          <w:sz w:val="24"/>
          <w:szCs w:val="24"/>
        </w:rPr>
        <w:t>作为国家级外贸综合服务平台及国家级营销服务平台，世贸通已累计服务了1万多家中小外贸企业。此次进口关税下调，世贸通涉及的木材、化工原料、纸制品等进口商品都获得了利好。“可以期待，明年1月1日关税下调后，客户的进口量将迎来一定增长，而成本的降低也将进一步提升海外商品的性价比，让国内市场将目光投向原本不在考虑范围内的进口商品。”吴萌娜对此信心满满。</w:t>
      </w:r>
    </w:p>
    <w:p>
      <w:pPr>
        <w:spacing w:line="440" w:lineRule="exact"/>
        <w:ind w:firstLine="480" w:firstLineChars="200"/>
        <w:rPr>
          <w:rFonts w:asciiTheme="minorEastAsia" w:hAnsiTheme="minorEastAsia"/>
          <w:sz w:val="24"/>
          <w:szCs w:val="24"/>
        </w:rPr>
      </w:pPr>
      <w:r>
        <w:rPr>
          <w:rFonts w:hint="eastAsia" w:asciiTheme="minorEastAsia" w:hAnsiTheme="minorEastAsia"/>
          <w:sz w:val="24"/>
          <w:szCs w:val="24"/>
        </w:rPr>
        <w:t>记者发现，与此相对的是，在附件细则中，还有不少“调整”指向的却是进口关税增加。为贯彻落实《固体废物污染环境防治法》，2021年1月1日起，我国相应取消金属废碎料等固体废物进口暂定税率，恢复执行高于暂定税率的最惠国税率。此外，从明年起，废杂铜将全面禁止进口。</w:t>
      </w:r>
    </w:p>
    <w:p>
      <w:pPr>
        <w:spacing w:line="440" w:lineRule="exact"/>
        <w:ind w:firstLine="480" w:firstLineChars="200"/>
        <w:rPr>
          <w:rFonts w:asciiTheme="minorEastAsia" w:hAnsiTheme="minorEastAsia"/>
          <w:sz w:val="24"/>
          <w:szCs w:val="24"/>
        </w:rPr>
      </w:pPr>
      <w:r>
        <w:rPr>
          <w:rFonts w:hint="eastAsia" w:asciiTheme="minorEastAsia" w:hAnsiTheme="minorEastAsia"/>
          <w:sz w:val="24"/>
          <w:szCs w:val="24"/>
        </w:rPr>
        <w:t xml:space="preserve">在这一系列进口政策收紧的过程中，再生铜企业进口原料的渠道似乎在渐渐变窄，我市相关再生铜企业及家电企业面临的原料采购压力，成为外界关心的话题。 </w:t>
      </w:r>
    </w:p>
    <w:p>
      <w:pPr>
        <w:spacing w:line="440" w:lineRule="exact"/>
        <w:ind w:firstLine="480" w:firstLineChars="200"/>
        <w:rPr>
          <w:rFonts w:asciiTheme="minorEastAsia" w:hAnsiTheme="minorEastAsia"/>
          <w:sz w:val="24"/>
          <w:szCs w:val="24"/>
        </w:rPr>
      </w:pPr>
      <w:r>
        <w:rPr>
          <w:rFonts w:hint="eastAsia" w:asciiTheme="minorEastAsia" w:hAnsiTheme="minorEastAsia"/>
          <w:sz w:val="24"/>
          <w:szCs w:val="24"/>
        </w:rPr>
        <w:t>“符合相关国家标准的再生黄铜原料、再生铜原料和再生铸造铝合金原料其实并不在此列，仍可按普通货物进口，适用0%进口暂定关税税率。”业内人士告诉记者，关于铜原料进口，相应的3项国家标准已经发布近半年，政策给了企业过渡期，相关企业早已有所准备，总体来说，对行业影响不大。</w:t>
      </w:r>
    </w:p>
    <w:p>
      <w:pPr>
        <w:spacing w:line="440" w:lineRule="exact"/>
        <w:ind w:firstLine="480" w:firstLineChars="200"/>
        <w:rPr>
          <w:rFonts w:asciiTheme="minorEastAsia" w:hAnsiTheme="minorEastAsia"/>
          <w:sz w:val="24"/>
          <w:szCs w:val="24"/>
        </w:rPr>
      </w:pPr>
      <w:r>
        <w:rPr>
          <w:rFonts w:hint="eastAsia" w:asciiTheme="minorEastAsia" w:hAnsiTheme="minorEastAsia"/>
          <w:sz w:val="24"/>
          <w:szCs w:val="24"/>
        </w:rPr>
        <w:t>据了解，当前，我市进口的再生（黄）铜原料主要来自美、日、德等国，其中来自美国的进口量高居榜首。美国对废铜的管理有严格规定，通常把含铜量大于99%的铜材叫作1号废铜，含铜量最低为94.5%的铜叫作2号废铜，一般情况下这两类原料均可生产电解铜。</w:t>
      </w:r>
    </w:p>
    <w:p>
      <w:pPr>
        <w:spacing w:line="440" w:lineRule="exact"/>
        <w:ind w:firstLine="480" w:firstLineChars="200"/>
        <w:rPr>
          <w:rFonts w:asciiTheme="minorEastAsia" w:hAnsiTheme="minorEastAsia"/>
          <w:sz w:val="24"/>
          <w:szCs w:val="24"/>
        </w:rPr>
      </w:pPr>
      <w:r>
        <w:rPr>
          <w:rFonts w:hint="eastAsia" w:asciiTheme="minorEastAsia" w:hAnsiTheme="minorEastAsia"/>
          <w:sz w:val="24"/>
          <w:szCs w:val="24"/>
        </w:rPr>
        <w:t>与之对应，目前我国再生铜原料的铜含量规定在94%至99.9%之间，相对来说，按照标准进口的再生原料品位更高。“再生铜产品0%的进口税率得以进一步延续，这将促使企业提升进口品质，优化原料结构，不断加快高质量发展。”我市一家大型再生铜产品公司的负责人告诉记者。</w:t>
      </w:r>
    </w:p>
    <w:p>
      <w:pPr>
        <w:spacing w:line="440" w:lineRule="exact"/>
        <w:ind w:firstLine="480" w:firstLineChars="200"/>
        <w:rPr>
          <w:rFonts w:asciiTheme="minorEastAsia" w:hAnsiTheme="minorEastAsia"/>
          <w:sz w:val="24"/>
          <w:szCs w:val="24"/>
        </w:rPr>
      </w:pPr>
      <w:r>
        <w:rPr>
          <w:rFonts w:hint="eastAsia" w:asciiTheme="minorEastAsia" w:hAnsiTheme="minorEastAsia"/>
          <w:sz w:val="24"/>
          <w:szCs w:val="24"/>
        </w:rPr>
        <w:t>看消费 跨境人瞄上了一般贸易进口</w:t>
      </w:r>
    </w:p>
    <w:p>
      <w:pPr>
        <w:spacing w:line="440" w:lineRule="exact"/>
        <w:ind w:firstLine="480" w:firstLineChars="200"/>
        <w:rPr>
          <w:rFonts w:asciiTheme="minorEastAsia" w:hAnsiTheme="minorEastAsia"/>
          <w:sz w:val="24"/>
          <w:szCs w:val="24"/>
        </w:rPr>
      </w:pPr>
      <w:r>
        <w:rPr>
          <w:rFonts w:hint="eastAsia" w:asciiTheme="minorEastAsia" w:hAnsiTheme="minorEastAsia"/>
          <w:sz w:val="24"/>
          <w:szCs w:val="24"/>
        </w:rPr>
        <w:t>“对于我们跨境进口企业来说，2021年1月1日起实施低于最惠国税率的进口暂定税率，对我们是一大利好消息。”在宁波保税区宁兴优贝国际贸易有限公司副总经理曹旭东看来，随着进口商品关税的进一步降低，众多原先进口商品的税率优势将不再单纯地依赖跨境电商的进口模式，一般贸易的进口模式有望进一步崛起。</w:t>
      </w:r>
    </w:p>
    <w:p>
      <w:pPr>
        <w:spacing w:line="440" w:lineRule="exact"/>
        <w:ind w:firstLine="480" w:firstLineChars="200"/>
        <w:rPr>
          <w:rFonts w:asciiTheme="minorEastAsia" w:hAnsiTheme="minorEastAsia"/>
          <w:sz w:val="24"/>
          <w:szCs w:val="24"/>
        </w:rPr>
      </w:pPr>
      <w:r>
        <w:rPr>
          <w:rFonts w:hint="eastAsia" w:asciiTheme="minorEastAsia" w:hAnsiTheme="minorEastAsia"/>
          <w:sz w:val="24"/>
          <w:szCs w:val="24"/>
        </w:rPr>
        <w:t>尤其是对宁兴优贝这类主打日常消费品的跨境电商企业而言，新政将进一步拓展一般贸易的销售模式，通过线上线下整合，拓展市场，扩大市场。</w:t>
      </w:r>
    </w:p>
    <w:p>
      <w:pPr>
        <w:spacing w:line="440" w:lineRule="exact"/>
        <w:ind w:firstLine="480" w:firstLineChars="200"/>
        <w:rPr>
          <w:rFonts w:asciiTheme="minorEastAsia" w:hAnsiTheme="minorEastAsia"/>
          <w:sz w:val="24"/>
          <w:szCs w:val="24"/>
        </w:rPr>
      </w:pPr>
      <w:r>
        <w:rPr>
          <w:rFonts w:hint="eastAsia" w:asciiTheme="minorEastAsia" w:hAnsiTheme="minorEastAsia"/>
          <w:sz w:val="24"/>
          <w:szCs w:val="24"/>
        </w:rPr>
        <w:t>近3年来，宁兴优贝以销售韩国三养火鸡面为契机，成功开辟了线上直通全国的品牌代理之路，销量连年翻番，排名稳居全网速食类产品第一，为该企业引进更多进口品牌并落地国内奠定了基础。“下一步，我们将借着关税降低的东风，进一步拓展市场，扩大规模，为宁波加速向‘双万亿’目标挺进贡献自己的力量。”曹旭东说。</w:t>
      </w:r>
    </w:p>
    <w:p>
      <w:pPr>
        <w:spacing w:line="440" w:lineRule="exact"/>
        <w:ind w:firstLine="480" w:firstLineChars="200"/>
        <w:rPr>
          <w:rFonts w:asciiTheme="minorEastAsia" w:hAnsiTheme="minorEastAsia"/>
          <w:sz w:val="24"/>
          <w:szCs w:val="24"/>
        </w:rPr>
      </w:pPr>
      <w:r>
        <w:rPr>
          <w:rFonts w:hint="eastAsia" w:asciiTheme="minorEastAsia" w:hAnsiTheme="minorEastAsia"/>
          <w:sz w:val="24"/>
          <w:szCs w:val="24"/>
        </w:rPr>
        <w:t>不过，在学界看来，达成这一前景尚需时日。</w:t>
      </w:r>
    </w:p>
    <w:p>
      <w:pPr>
        <w:spacing w:line="440" w:lineRule="exact"/>
        <w:ind w:firstLine="480" w:firstLineChars="200"/>
        <w:rPr>
          <w:rFonts w:asciiTheme="minorEastAsia" w:hAnsiTheme="minorEastAsia"/>
          <w:sz w:val="24"/>
          <w:szCs w:val="24"/>
        </w:rPr>
      </w:pPr>
      <w:r>
        <w:rPr>
          <w:rFonts w:hint="eastAsia" w:asciiTheme="minorEastAsia" w:hAnsiTheme="minorEastAsia"/>
          <w:sz w:val="24"/>
          <w:szCs w:val="24"/>
        </w:rPr>
        <w:t>在采访中，宁波工程学院管理工程研究所所长杨健指出，我国进口消费品的关税从前几年起就已经有所调整。从消费品的进口体量来看，虽然有连年增长的趋势，但是相对于出口体量而言还是小得多。消费品关税降低对消费者来说是个利好，对企业来说影响相对有限。</w:t>
      </w:r>
    </w:p>
    <w:p>
      <w:pPr>
        <w:spacing w:line="440" w:lineRule="exact"/>
        <w:ind w:firstLine="480" w:firstLineChars="200"/>
        <w:rPr>
          <w:rFonts w:asciiTheme="minorEastAsia" w:hAnsiTheme="minorEastAsia"/>
          <w:sz w:val="24"/>
          <w:szCs w:val="24"/>
        </w:rPr>
      </w:pPr>
      <w:r>
        <w:rPr>
          <w:rFonts w:hint="eastAsia" w:asciiTheme="minorEastAsia" w:hAnsiTheme="minorEastAsia"/>
          <w:sz w:val="24"/>
          <w:szCs w:val="24"/>
        </w:rPr>
        <w:t>就宁波而言，人们感受最深的进口商品，或许就是身边的中东欧红酒、零食、化妆品。</w:t>
      </w:r>
    </w:p>
    <w:p>
      <w:pPr>
        <w:spacing w:line="440" w:lineRule="exact"/>
        <w:ind w:firstLine="480" w:firstLineChars="200"/>
        <w:rPr>
          <w:rFonts w:asciiTheme="minorEastAsia" w:hAnsiTheme="minorEastAsia"/>
          <w:sz w:val="24"/>
          <w:szCs w:val="24"/>
        </w:rPr>
      </w:pPr>
      <w:r>
        <w:rPr>
          <w:rFonts w:hint="eastAsia" w:asciiTheme="minorEastAsia" w:hAnsiTheme="minorEastAsia"/>
          <w:sz w:val="24"/>
          <w:szCs w:val="24"/>
        </w:rPr>
        <w:t>“关税降低，对于我们宁波外贸包括经济双循环会起到推动作用。宁波要抓住这个机遇，做到‘全球买，全球卖’。”宁波海上丝绸之路研究院院长闫国庆指出，在当前国际关系的大背景下，我国面临着各种错综复杂的挑战。从全国范围来说，应该通过17+1合作来推动问题的改善和合作的深化，在这方面，宁波有着天然的优势。</w:t>
      </w:r>
    </w:p>
    <w:p>
      <w:pPr>
        <w:spacing w:line="440" w:lineRule="exact"/>
        <w:ind w:firstLine="480" w:firstLineChars="200"/>
        <w:rPr>
          <w:rFonts w:asciiTheme="minorEastAsia" w:hAnsiTheme="minorEastAsia"/>
          <w:sz w:val="24"/>
          <w:szCs w:val="24"/>
        </w:rPr>
      </w:pPr>
      <w:r>
        <w:rPr>
          <w:rFonts w:hint="eastAsia" w:asciiTheme="minorEastAsia" w:hAnsiTheme="minorEastAsia"/>
          <w:sz w:val="24"/>
          <w:szCs w:val="24"/>
        </w:rPr>
        <w:t>他坦言，从基础平台构建而言，目前的17+1合作中无论是贸易或者投资都处于起步阶段，所以在智库建设和引导方面，需要通过一些前期的顶层设计来进行深入研究，梳理中东欧国家中可以合作的产业、企业和产品。从更高发展目标而言，宁波的中东欧合作作为浙江省乃至全国的焦点，应该对标东盟博览会、上合组织峰会这样的国家级交流盛会，从贸易入手，进一步提升中东欧合作的效力。</w:t>
      </w:r>
    </w:p>
    <w:p>
      <w:pPr>
        <w:spacing w:line="440" w:lineRule="exact"/>
        <w:ind w:firstLine="480" w:firstLineChars="200"/>
        <w:rPr>
          <w:rFonts w:asciiTheme="minorEastAsia" w:hAnsiTheme="minorEastAsia"/>
          <w:sz w:val="24"/>
          <w:szCs w:val="24"/>
        </w:rPr>
      </w:pPr>
      <w:r>
        <w:rPr>
          <w:rFonts w:hint="eastAsia" w:asciiTheme="minorEastAsia" w:hAnsiTheme="minorEastAsia"/>
          <w:sz w:val="24"/>
          <w:szCs w:val="24"/>
        </w:rPr>
        <w:t>惠民生 回应“病有所医”重大关切</w:t>
      </w:r>
    </w:p>
    <w:p>
      <w:pPr>
        <w:spacing w:line="440" w:lineRule="exact"/>
        <w:ind w:firstLine="480" w:firstLineChars="200"/>
        <w:rPr>
          <w:rFonts w:asciiTheme="minorEastAsia" w:hAnsiTheme="minorEastAsia"/>
          <w:sz w:val="24"/>
          <w:szCs w:val="24"/>
        </w:rPr>
      </w:pPr>
      <w:r>
        <w:rPr>
          <w:rFonts w:hint="eastAsia" w:asciiTheme="minorEastAsia" w:hAnsiTheme="minorEastAsia"/>
          <w:sz w:val="24"/>
          <w:szCs w:val="24"/>
        </w:rPr>
        <w:t>记者在《进口商品暂定税率表》上看到，在医疗器材领域，人工心脏瓣膜、助听器、人工耳蜗植入装置、牙齿固定件、医用可解脱弹簧圈等装置、设备，均迎来了不同幅度的进口关税下调。宁波博闻进出口有限公司总经理邬军听告诉记者，这些医疗器材涉及人民群众生命质量的方方面面，进口关税的下调，对消费者而言无疑是一大利好。</w:t>
      </w:r>
    </w:p>
    <w:p>
      <w:pPr>
        <w:spacing w:line="440" w:lineRule="exact"/>
        <w:ind w:firstLine="480" w:firstLineChars="200"/>
        <w:rPr>
          <w:rFonts w:asciiTheme="minorEastAsia" w:hAnsiTheme="minorEastAsia"/>
          <w:sz w:val="24"/>
          <w:szCs w:val="24"/>
        </w:rPr>
      </w:pPr>
      <w:r>
        <w:rPr>
          <w:rFonts w:hint="eastAsia" w:asciiTheme="minorEastAsia" w:hAnsiTheme="minorEastAsia"/>
          <w:sz w:val="24"/>
          <w:szCs w:val="24"/>
        </w:rPr>
        <w:t>“‘病有所医’是人民群众的重大关切之一。可以看到，此次对部分药品原料和医疗器材实施降税，充分展现了服务百姓的视角。”邬军听表示，尽管进口关税的下调可能会在短期内对国内企业产生一定冲击，但从长远角度来看，这也是在倒逼国内企业研发更高性价比、更具市场竞争力的产品。</w:t>
      </w:r>
    </w:p>
    <w:p>
      <w:pPr>
        <w:spacing w:line="440" w:lineRule="exact"/>
        <w:ind w:firstLine="480" w:firstLineChars="200"/>
        <w:rPr>
          <w:rFonts w:asciiTheme="minorEastAsia" w:hAnsiTheme="minorEastAsia"/>
          <w:sz w:val="24"/>
          <w:szCs w:val="24"/>
        </w:rPr>
      </w:pPr>
      <w:r>
        <w:rPr>
          <w:rFonts w:hint="eastAsia" w:asciiTheme="minorEastAsia" w:hAnsiTheme="minorEastAsia"/>
          <w:sz w:val="24"/>
          <w:szCs w:val="24"/>
        </w:rPr>
        <w:t>“疫情发生以来，中国制造供应全球成为一大明显趋势，老百姓对生命健康的重视也进一步提升。未来，医疗器材领域的市场前景开阔，国内企业更应牢牢把握这一机遇与挑战。”邬军听说。</w:t>
      </w:r>
    </w:p>
    <w:p>
      <w:pPr>
        <w:spacing w:line="440" w:lineRule="exact"/>
        <w:ind w:firstLine="480" w:firstLineChars="200"/>
        <w:rPr>
          <w:rFonts w:asciiTheme="minorEastAsia" w:hAnsiTheme="minorEastAsia"/>
          <w:sz w:val="24"/>
          <w:szCs w:val="24"/>
        </w:rPr>
      </w:pPr>
      <w:r>
        <w:rPr>
          <w:rFonts w:hint="eastAsia" w:asciiTheme="minorEastAsia" w:hAnsiTheme="minorEastAsia"/>
          <w:sz w:val="24"/>
          <w:szCs w:val="24"/>
        </w:rPr>
        <w:t>除了医疗器材，对第二批抗癌药和罕见病药品原料实行零关税的政策，也是本次关税调整的一大“重磅内容”。</w:t>
      </w:r>
    </w:p>
    <w:p>
      <w:pPr>
        <w:spacing w:line="440" w:lineRule="exact"/>
        <w:ind w:firstLine="480" w:firstLineChars="200"/>
        <w:rPr>
          <w:rFonts w:asciiTheme="minorEastAsia" w:hAnsiTheme="minorEastAsia"/>
          <w:sz w:val="24"/>
          <w:szCs w:val="24"/>
        </w:rPr>
      </w:pPr>
      <w:r>
        <w:rPr>
          <w:rFonts w:hint="eastAsia" w:asciiTheme="minorEastAsia" w:hAnsiTheme="minorEastAsia"/>
          <w:sz w:val="24"/>
          <w:szCs w:val="24"/>
        </w:rPr>
        <w:t>查询《进口商品暂定税率表》可以发现，本次零关税政策不仅涉及抗癌药与罕见病药品的原料，也包括了部分进口制剂产品。抗癌药原料涵盖了多西他赛、紫杉醇、吉西他滨等“大名鼎鼎”的传统化疗药原料，还包括泽布替尼、阿美替尼、埃克替尼等国产抗癌药。制剂产品基本为心血管、代谢领域的知名品种，如糖尿病药恩格列净、阿卡波糖、维格列汀、利格列汀、重组人胰岛素及其盐，还有常用降脂药阿托伐他汀钙、乙肝常用药恩替卡韦等。</w:t>
      </w:r>
    </w:p>
    <w:p>
      <w:pPr>
        <w:spacing w:line="440" w:lineRule="exact"/>
        <w:ind w:firstLine="480" w:firstLineChars="200"/>
        <w:rPr>
          <w:rFonts w:asciiTheme="minorEastAsia" w:hAnsiTheme="minorEastAsia"/>
          <w:sz w:val="24"/>
          <w:szCs w:val="24"/>
        </w:rPr>
      </w:pPr>
      <w:r>
        <w:rPr>
          <w:rFonts w:hint="eastAsia" w:asciiTheme="minorEastAsia" w:hAnsiTheme="minorEastAsia"/>
          <w:sz w:val="24"/>
          <w:szCs w:val="24"/>
        </w:rPr>
        <w:t>那么，本次第二批抗癌药和罕见病药品原料降至零关税，对于国内的药价有何影响？</w:t>
      </w:r>
    </w:p>
    <w:p>
      <w:pPr>
        <w:spacing w:line="440" w:lineRule="exact"/>
        <w:ind w:firstLine="480" w:firstLineChars="200"/>
        <w:rPr>
          <w:rFonts w:asciiTheme="minorEastAsia" w:hAnsiTheme="minorEastAsia"/>
          <w:sz w:val="24"/>
          <w:szCs w:val="24"/>
        </w:rPr>
      </w:pPr>
      <w:r>
        <w:rPr>
          <w:rFonts w:hint="eastAsia" w:asciiTheme="minorEastAsia" w:hAnsiTheme="minorEastAsia"/>
          <w:sz w:val="24"/>
          <w:szCs w:val="24"/>
        </w:rPr>
        <w:t>有专家表示，考虑到所涉及产品大多为原料，且本身所调整幅度并不大，再加上后续的制备、流通等成本，恐难以实现“大幅降价”。“实际上，从药价成本构成上看，除去部分难度大的特殊工艺剂型外，无论是生物药还是传统的化学药，通常原料与生产成本在其中占比并不高，企业更多是需要摊销前期的研发成本，此外国内曾经复杂的流通环节也抬高了药价。”相关专家告诉记者。</w:t>
      </w:r>
    </w:p>
    <w:p>
      <w:pPr>
        <w:spacing w:line="440" w:lineRule="exact"/>
        <w:jc w:val="left"/>
        <w:rPr>
          <w:rFonts w:asciiTheme="minorEastAsia" w:hAnsiTheme="minorEastAsia"/>
          <w:sz w:val="24"/>
          <w:szCs w:val="24"/>
        </w:rPr>
        <w:sectPr>
          <w:type w:val="continuous"/>
          <w:pgSz w:w="11906" w:h="16838"/>
          <w:pgMar w:top="1440" w:right="1800" w:bottom="1440" w:left="1800" w:header="851" w:footer="992" w:gutter="0"/>
          <w:cols w:space="425" w:num="2"/>
          <w:docGrid w:type="lines" w:linePitch="312" w:charSpace="0"/>
        </w:sectPr>
      </w:pPr>
      <w:r>
        <w:rPr>
          <w:rFonts w:hint="eastAsia" w:asciiTheme="minorEastAsia" w:hAnsiTheme="minorEastAsia"/>
          <w:sz w:val="24"/>
          <w:szCs w:val="24"/>
        </w:rPr>
        <w:t>“下一步，宁波要打造双循环枢纽城市，这意味着一定要做大做强进口。”李旭君表示，当前，宁波的进口与出口比例约为1：2，进口商品也以大宗商品原材料为主，机械设备、高端消费品占比相对较低，进口结构有待进一步完善。此次调整涉及设备、医疗、器械等进口产品，这些关税安排有助于我市更好地向外贸“225”双万亿目标迈进，发挥我国超大规模市场优势，为世界各国提供更加广阔的市场机遇，更好地联通国内国际两个市场。（宁波日报12-25）</w:t>
      </w:r>
    </w:p>
    <w:p>
      <w:pPr>
        <w:spacing w:line="440" w:lineRule="exact"/>
        <w:jc w:val="left"/>
        <w:rPr>
          <w:rFonts w:cs="Times New Roman" w:asciiTheme="minorEastAsia" w:hAnsiTheme="minorEastAsia"/>
          <w:sz w:val="24"/>
          <w:szCs w:val="24"/>
        </w:rPr>
      </w:pPr>
    </w:p>
    <w:sectPr>
      <w:type w:val="continuous"/>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彩云">
    <w:panose1 w:val="02010800040101010101"/>
    <w:charset w:val="86"/>
    <w:family w:val="auto"/>
    <w:pitch w:val="default"/>
    <w:sig w:usb0="00000001" w:usb1="080F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华文细黑">
    <w:panose1 w:val="02010600040101010101"/>
    <w:charset w:val="86"/>
    <w:family w:val="auto"/>
    <w:pitch w:val="default"/>
    <w:sig w:usb0="00000287" w:usb1="080F0000" w:usb2="00000000" w:usb3="00000000" w:csb0="0004009F" w:csb1="DFD70000"/>
  </w:font>
  <w:font w:name="微软雅黑">
    <w:panose1 w:val="020B0503020204020204"/>
    <w:charset w:val="86"/>
    <w:family w:val="swiss"/>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56735"/>
    </w:sdtPr>
    <w:sdtContent>
      <w:p>
        <w:pPr>
          <w:pStyle w:val="5"/>
          <w:jc w:val="center"/>
        </w:pPr>
        <w:r>
          <w:fldChar w:fldCharType="begin"/>
        </w:r>
        <w:r>
          <w:instrText xml:space="preserve"> PAGE   \* MERGEFORMAT </w:instrText>
        </w:r>
        <w:r>
          <w:fldChar w:fldCharType="separate"/>
        </w:r>
        <w:r>
          <w:rPr>
            <w:lang w:val="zh-CN"/>
          </w:rPr>
          <w:t>44</w:t>
        </w:r>
        <w:r>
          <w:rPr>
            <w:lang w:val="zh-CN"/>
          </w:rPr>
          <w:fldChar w:fldCharType="end"/>
        </w:r>
      </w:p>
    </w:sdtContent>
  </w:sdt>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rFonts w:hint="eastAsia"/>
      </w:rPr>
      <w:t>宁波市对外经济贸易企业协会（宁波进出口商会）会刊</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533EA7"/>
    <w:multiLevelType w:val="multilevel"/>
    <w:tmpl w:val="4C533EA7"/>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color w:val="FF6600"/>
      </w:rPr>
    </w:lvl>
    <w:lvl w:ilvl="3" w:tentative="0">
      <w:start w:val="1"/>
      <w:numFmt w:val="bullet"/>
      <w:lvlText w:val=""/>
      <w:lvlJc w:val="left"/>
      <w:pPr>
        <w:ind w:left="1680" w:hanging="420"/>
      </w:pPr>
      <w:rPr>
        <w:rFonts w:hint="default" w:ascii="Wingdings" w:hAnsi="Wingdings"/>
        <w:color w:val="FF6600"/>
        <w:sz w:val="16"/>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
    <w:nsid w:val="72186153"/>
    <w:multiLevelType w:val="multilevel"/>
    <w:tmpl w:val="72186153"/>
    <w:lvl w:ilvl="0" w:tentative="0">
      <w:start w:val="1"/>
      <w:numFmt w:val="bullet"/>
      <w:lvlText w:val=""/>
      <w:lvlJc w:val="left"/>
      <w:pPr>
        <w:ind w:left="900" w:hanging="420"/>
      </w:pPr>
      <w:rPr>
        <w:rFonts w:hint="default" w:ascii="Wingdings" w:hAnsi="Wingdings"/>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8A45DE"/>
    <w:rsid w:val="0000616C"/>
    <w:rsid w:val="00012325"/>
    <w:rsid w:val="000211CB"/>
    <w:rsid w:val="00035669"/>
    <w:rsid w:val="000356C8"/>
    <w:rsid w:val="000364BA"/>
    <w:rsid w:val="00047918"/>
    <w:rsid w:val="00052218"/>
    <w:rsid w:val="00052B1A"/>
    <w:rsid w:val="00056E10"/>
    <w:rsid w:val="000603E5"/>
    <w:rsid w:val="00072361"/>
    <w:rsid w:val="00076EF2"/>
    <w:rsid w:val="00087AAB"/>
    <w:rsid w:val="000932EA"/>
    <w:rsid w:val="000A2878"/>
    <w:rsid w:val="000B2ED1"/>
    <w:rsid w:val="000B2FB0"/>
    <w:rsid w:val="000B36E3"/>
    <w:rsid w:val="000C67B7"/>
    <w:rsid w:val="000C6C7F"/>
    <w:rsid w:val="000E231A"/>
    <w:rsid w:val="000E2D96"/>
    <w:rsid w:val="000F3E54"/>
    <w:rsid w:val="00113EF6"/>
    <w:rsid w:val="00126B34"/>
    <w:rsid w:val="00127F0B"/>
    <w:rsid w:val="0013244D"/>
    <w:rsid w:val="001350EE"/>
    <w:rsid w:val="00140D86"/>
    <w:rsid w:val="00166AC0"/>
    <w:rsid w:val="001751DE"/>
    <w:rsid w:val="00176A9C"/>
    <w:rsid w:val="00181247"/>
    <w:rsid w:val="001815CC"/>
    <w:rsid w:val="001951A2"/>
    <w:rsid w:val="001A59AA"/>
    <w:rsid w:val="001B729E"/>
    <w:rsid w:val="001C610F"/>
    <w:rsid w:val="001C75C5"/>
    <w:rsid w:val="001D40DD"/>
    <w:rsid w:val="001E0063"/>
    <w:rsid w:val="002015C2"/>
    <w:rsid w:val="00201B45"/>
    <w:rsid w:val="00217E82"/>
    <w:rsid w:val="00225FEF"/>
    <w:rsid w:val="00243BEA"/>
    <w:rsid w:val="002504A0"/>
    <w:rsid w:val="00250E2C"/>
    <w:rsid w:val="0027351B"/>
    <w:rsid w:val="00276FC9"/>
    <w:rsid w:val="00294F92"/>
    <w:rsid w:val="00297EA5"/>
    <w:rsid w:val="002A5BB6"/>
    <w:rsid w:val="002A7D88"/>
    <w:rsid w:val="002C2E59"/>
    <w:rsid w:val="002C51DF"/>
    <w:rsid w:val="002C78F5"/>
    <w:rsid w:val="002D1B3E"/>
    <w:rsid w:val="002E3020"/>
    <w:rsid w:val="002E6C85"/>
    <w:rsid w:val="003026E7"/>
    <w:rsid w:val="0030358B"/>
    <w:rsid w:val="003048CD"/>
    <w:rsid w:val="003068FF"/>
    <w:rsid w:val="00330868"/>
    <w:rsid w:val="00333050"/>
    <w:rsid w:val="00334113"/>
    <w:rsid w:val="0033442D"/>
    <w:rsid w:val="003372C3"/>
    <w:rsid w:val="003428C9"/>
    <w:rsid w:val="00352C8E"/>
    <w:rsid w:val="0036338F"/>
    <w:rsid w:val="00372E78"/>
    <w:rsid w:val="00375836"/>
    <w:rsid w:val="00381739"/>
    <w:rsid w:val="00381E13"/>
    <w:rsid w:val="00391268"/>
    <w:rsid w:val="003A64B6"/>
    <w:rsid w:val="003A6861"/>
    <w:rsid w:val="003C49BA"/>
    <w:rsid w:val="003C4B68"/>
    <w:rsid w:val="003D3007"/>
    <w:rsid w:val="003D3C1C"/>
    <w:rsid w:val="003F2053"/>
    <w:rsid w:val="003F6E44"/>
    <w:rsid w:val="00400A7C"/>
    <w:rsid w:val="00411C81"/>
    <w:rsid w:val="00412489"/>
    <w:rsid w:val="00415D00"/>
    <w:rsid w:val="00423406"/>
    <w:rsid w:val="004301B0"/>
    <w:rsid w:val="004323BC"/>
    <w:rsid w:val="00435053"/>
    <w:rsid w:val="00437364"/>
    <w:rsid w:val="0044131B"/>
    <w:rsid w:val="004474D7"/>
    <w:rsid w:val="0046233F"/>
    <w:rsid w:val="004628E2"/>
    <w:rsid w:val="00463F50"/>
    <w:rsid w:val="004A307E"/>
    <w:rsid w:val="004B156B"/>
    <w:rsid w:val="004C02D8"/>
    <w:rsid w:val="004C0492"/>
    <w:rsid w:val="004C326E"/>
    <w:rsid w:val="004C624D"/>
    <w:rsid w:val="004C7E6C"/>
    <w:rsid w:val="004D130C"/>
    <w:rsid w:val="004E17D0"/>
    <w:rsid w:val="004E256F"/>
    <w:rsid w:val="004E2FE4"/>
    <w:rsid w:val="004F044A"/>
    <w:rsid w:val="004F72EE"/>
    <w:rsid w:val="0050232D"/>
    <w:rsid w:val="00503D75"/>
    <w:rsid w:val="00506B3F"/>
    <w:rsid w:val="005218F9"/>
    <w:rsid w:val="0052410D"/>
    <w:rsid w:val="005302D6"/>
    <w:rsid w:val="005503EF"/>
    <w:rsid w:val="00553676"/>
    <w:rsid w:val="005660C8"/>
    <w:rsid w:val="00567B85"/>
    <w:rsid w:val="00583AD1"/>
    <w:rsid w:val="005961BA"/>
    <w:rsid w:val="00596D39"/>
    <w:rsid w:val="00597E05"/>
    <w:rsid w:val="005A2BFF"/>
    <w:rsid w:val="005B2925"/>
    <w:rsid w:val="005C1731"/>
    <w:rsid w:val="005C21AA"/>
    <w:rsid w:val="005C2DC4"/>
    <w:rsid w:val="005D1D16"/>
    <w:rsid w:val="005D704D"/>
    <w:rsid w:val="005E272F"/>
    <w:rsid w:val="005F7216"/>
    <w:rsid w:val="00603CF9"/>
    <w:rsid w:val="00605B81"/>
    <w:rsid w:val="006201C9"/>
    <w:rsid w:val="00620694"/>
    <w:rsid w:val="006240A2"/>
    <w:rsid w:val="00624188"/>
    <w:rsid w:val="00624485"/>
    <w:rsid w:val="00631525"/>
    <w:rsid w:val="006322F7"/>
    <w:rsid w:val="0063263E"/>
    <w:rsid w:val="00635347"/>
    <w:rsid w:val="006560AA"/>
    <w:rsid w:val="00660096"/>
    <w:rsid w:val="00665F54"/>
    <w:rsid w:val="00666A5A"/>
    <w:rsid w:val="006B5837"/>
    <w:rsid w:val="006B6424"/>
    <w:rsid w:val="006C1F89"/>
    <w:rsid w:val="006C6774"/>
    <w:rsid w:val="006D1627"/>
    <w:rsid w:val="006D1C72"/>
    <w:rsid w:val="006D6DD7"/>
    <w:rsid w:val="006F1407"/>
    <w:rsid w:val="006F1A7F"/>
    <w:rsid w:val="006F58E3"/>
    <w:rsid w:val="0070138A"/>
    <w:rsid w:val="00702201"/>
    <w:rsid w:val="00702563"/>
    <w:rsid w:val="0070490F"/>
    <w:rsid w:val="007105CC"/>
    <w:rsid w:val="00716B49"/>
    <w:rsid w:val="00720310"/>
    <w:rsid w:val="00721EBF"/>
    <w:rsid w:val="00734AAF"/>
    <w:rsid w:val="007376DB"/>
    <w:rsid w:val="00744AF5"/>
    <w:rsid w:val="00744C07"/>
    <w:rsid w:val="00745B97"/>
    <w:rsid w:val="00780262"/>
    <w:rsid w:val="007814B4"/>
    <w:rsid w:val="00784BD9"/>
    <w:rsid w:val="0079726F"/>
    <w:rsid w:val="007A1201"/>
    <w:rsid w:val="007A316F"/>
    <w:rsid w:val="007C4D29"/>
    <w:rsid w:val="007C7C84"/>
    <w:rsid w:val="007D0BA4"/>
    <w:rsid w:val="007E47B2"/>
    <w:rsid w:val="007F5468"/>
    <w:rsid w:val="007F681A"/>
    <w:rsid w:val="00802A61"/>
    <w:rsid w:val="008071FE"/>
    <w:rsid w:val="00815A1D"/>
    <w:rsid w:val="008171C8"/>
    <w:rsid w:val="00830646"/>
    <w:rsid w:val="00835920"/>
    <w:rsid w:val="00857506"/>
    <w:rsid w:val="00866897"/>
    <w:rsid w:val="008711FC"/>
    <w:rsid w:val="0087463A"/>
    <w:rsid w:val="00883A95"/>
    <w:rsid w:val="00886E61"/>
    <w:rsid w:val="00890F92"/>
    <w:rsid w:val="008965C4"/>
    <w:rsid w:val="00897066"/>
    <w:rsid w:val="008A02FF"/>
    <w:rsid w:val="008A1A9E"/>
    <w:rsid w:val="008A45DE"/>
    <w:rsid w:val="008D5338"/>
    <w:rsid w:val="008E56B7"/>
    <w:rsid w:val="008F7D5C"/>
    <w:rsid w:val="00907FB1"/>
    <w:rsid w:val="00911CFD"/>
    <w:rsid w:val="009134BB"/>
    <w:rsid w:val="00923F6A"/>
    <w:rsid w:val="0093399C"/>
    <w:rsid w:val="009426C4"/>
    <w:rsid w:val="00950033"/>
    <w:rsid w:val="009662C7"/>
    <w:rsid w:val="0097199C"/>
    <w:rsid w:val="009A05C9"/>
    <w:rsid w:val="009A3DC2"/>
    <w:rsid w:val="009B4A4D"/>
    <w:rsid w:val="009C4710"/>
    <w:rsid w:val="009C4B94"/>
    <w:rsid w:val="009C5622"/>
    <w:rsid w:val="009E34CB"/>
    <w:rsid w:val="009E3D62"/>
    <w:rsid w:val="009F57AA"/>
    <w:rsid w:val="00A13CB2"/>
    <w:rsid w:val="00A17C3A"/>
    <w:rsid w:val="00A4509C"/>
    <w:rsid w:val="00A50E5E"/>
    <w:rsid w:val="00A657D4"/>
    <w:rsid w:val="00A66E60"/>
    <w:rsid w:val="00A833D5"/>
    <w:rsid w:val="00A83C01"/>
    <w:rsid w:val="00A843E0"/>
    <w:rsid w:val="00A84A8F"/>
    <w:rsid w:val="00A86AF4"/>
    <w:rsid w:val="00A90285"/>
    <w:rsid w:val="00A94414"/>
    <w:rsid w:val="00A951C6"/>
    <w:rsid w:val="00AA2BB1"/>
    <w:rsid w:val="00AA48DE"/>
    <w:rsid w:val="00AB4926"/>
    <w:rsid w:val="00AD1BA2"/>
    <w:rsid w:val="00AD4793"/>
    <w:rsid w:val="00B0399E"/>
    <w:rsid w:val="00B15CDD"/>
    <w:rsid w:val="00B15EC7"/>
    <w:rsid w:val="00B305D5"/>
    <w:rsid w:val="00B33C3C"/>
    <w:rsid w:val="00B346E2"/>
    <w:rsid w:val="00B43446"/>
    <w:rsid w:val="00B450EE"/>
    <w:rsid w:val="00B46961"/>
    <w:rsid w:val="00B57AD5"/>
    <w:rsid w:val="00B62404"/>
    <w:rsid w:val="00B6387F"/>
    <w:rsid w:val="00B63D0F"/>
    <w:rsid w:val="00B66DC8"/>
    <w:rsid w:val="00B827EB"/>
    <w:rsid w:val="00B90BE5"/>
    <w:rsid w:val="00B95893"/>
    <w:rsid w:val="00B978F2"/>
    <w:rsid w:val="00BA1B7E"/>
    <w:rsid w:val="00BB2EE6"/>
    <w:rsid w:val="00BB39AA"/>
    <w:rsid w:val="00BB5C7F"/>
    <w:rsid w:val="00BC3AAD"/>
    <w:rsid w:val="00BC7DB7"/>
    <w:rsid w:val="00BD636A"/>
    <w:rsid w:val="00BE07DF"/>
    <w:rsid w:val="00BE331D"/>
    <w:rsid w:val="00BE78D4"/>
    <w:rsid w:val="00BF3169"/>
    <w:rsid w:val="00BF548B"/>
    <w:rsid w:val="00C0207B"/>
    <w:rsid w:val="00C34548"/>
    <w:rsid w:val="00C4590C"/>
    <w:rsid w:val="00C5270A"/>
    <w:rsid w:val="00C6126A"/>
    <w:rsid w:val="00C67C4C"/>
    <w:rsid w:val="00C770FE"/>
    <w:rsid w:val="00C85BCE"/>
    <w:rsid w:val="00C902C2"/>
    <w:rsid w:val="00C96FD5"/>
    <w:rsid w:val="00CA2192"/>
    <w:rsid w:val="00CA75BB"/>
    <w:rsid w:val="00CB797F"/>
    <w:rsid w:val="00CD0F28"/>
    <w:rsid w:val="00CD5550"/>
    <w:rsid w:val="00CE12B8"/>
    <w:rsid w:val="00CE1A17"/>
    <w:rsid w:val="00CE3697"/>
    <w:rsid w:val="00CF1EEA"/>
    <w:rsid w:val="00D0015F"/>
    <w:rsid w:val="00D03A08"/>
    <w:rsid w:val="00D211FB"/>
    <w:rsid w:val="00D232F3"/>
    <w:rsid w:val="00D3659E"/>
    <w:rsid w:val="00D61041"/>
    <w:rsid w:val="00D67119"/>
    <w:rsid w:val="00D82FBA"/>
    <w:rsid w:val="00D9466D"/>
    <w:rsid w:val="00DA42BD"/>
    <w:rsid w:val="00DB260D"/>
    <w:rsid w:val="00DB2808"/>
    <w:rsid w:val="00DB3B2A"/>
    <w:rsid w:val="00DB402B"/>
    <w:rsid w:val="00DB559C"/>
    <w:rsid w:val="00DB6AB0"/>
    <w:rsid w:val="00DB6C16"/>
    <w:rsid w:val="00DC10B7"/>
    <w:rsid w:val="00DC7565"/>
    <w:rsid w:val="00DE6F16"/>
    <w:rsid w:val="00E02B49"/>
    <w:rsid w:val="00E04E3A"/>
    <w:rsid w:val="00E07509"/>
    <w:rsid w:val="00E101D2"/>
    <w:rsid w:val="00E121A9"/>
    <w:rsid w:val="00E15E47"/>
    <w:rsid w:val="00E435CB"/>
    <w:rsid w:val="00E56BEB"/>
    <w:rsid w:val="00E57EC2"/>
    <w:rsid w:val="00E66886"/>
    <w:rsid w:val="00E71129"/>
    <w:rsid w:val="00E754E5"/>
    <w:rsid w:val="00E8549B"/>
    <w:rsid w:val="00E86186"/>
    <w:rsid w:val="00E94174"/>
    <w:rsid w:val="00E94884"/>
    <w:rsid w:val="00EA3100"/>
    <w:rsid w:val="00EB11AE"/>
    <w:rsid w:val="00ED1F2D"/>
    <w:rsid w:val="00EE5D08"/>
    <w:rsid w:val="00EE6AC0"/>
    <w:rsid w:val="00EF137C"/>
    <w:rsid w:val="00EF6F5A"/>
    <w:rsid w:val="00F10979"/>
    <w:rsid w:val="00F111F7"/>
    <w:rsid w:val="00F11EF1"/>
    <w:rsid w:val="00F128FA"/>
    <w:rsid w:val="00F135ED"/>
    <w:rsid w:val="00F24F78"/>
    <w:rsid w:val="00F30271"/>
    <w:rsid w:val="00F36AE9"/>
    <w:rsid w:val="00F43A74"/>
    <w:rsid w:val="00F45BB6"/>
    <w:rsid w:val="00F61102"/>
    <w:rsid w:val="00F6368E"/>
    <w:rsid w:val="00F74F45"/>
    <w:rsid w:val="00F81FF7"/>
    <w:rsid w:val="00F846FE"/>
    <w:rsid w:val="00F84F76"/>
    <w:rsid w:val="00F93C4D"/>
    <w:rsid w:val="00FA777C"/>
    <w:rsid w:val="00FD6305"/>
    <w:rsid w:val="047E2A8E"/>
    <w:rsid w:val="3DD810E6"/>
    <w:rsid w:val="40B92079"/>
    <w:rsid w:val="457D5A9E"/>
    <w:rsid w:val="475856D7"/>
    <w:rsid w:val="4CF21E2F"/>
    <w:rsid w:val="64B15F04"/>
    <w:rsid w:val="747C14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nhideWhenUsed="0"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4"/>
    <w:basedOn w:val="1"/>
    <w:next w:val="1"/>
    <w:link w:val="16"/>
    <w:qFormat/>
    <w:uiPriority w:val="9"/>
    <w:pPr>
      <w:widowControl/>
      <w:spacing w:before="100" w:beforeAutospacing="1" w:after="100" w:afterAutospacing="1"/>
      <w:jc w:val="left"/>
      <w:outlineLvl w:val="3"/>
    </w:pPr>
    <w:rPr>
      <w:rFonts w:ascii="宋体" w:hAnsi="宋体" w:eastAsia="宋体" w:cs="宋体"/>
      <w:b/>
      <w:bCs/>
      <w:kern w:val="0"/>
      <w:sz w:val="24"/>
      <w:szCs w:val="24"/>
    </w:rPr>
  </w:style>
  <w:style w:type="character" w:default="1" w:styleId="8">
    <w:name w:val="Default Paragraph Font"/>
    <w:semiHidden/>
    <w:unhideWhenUsed/>
    <w:uiPriority w:val="1"/>
  </w:style>
  <w:style w:type="table" w:default="1" w:styleId="11">
    <w:name w:val="Normal Table"/>
    <w:semiHidden/>
    <w:unhideWhenUsed/>
    <w:qFormat/>
    <w:uiPriority w:val="99"/>
    <w:tblPr>
      <w:tblLayout w:type="fixed"/>
      <w:tblCellMar>
        <w:top w:w="0" w:type="dxa"/>
        <w:left w:w="108" w:type="dxa"/>
        <w:bottom w:w="0" w:type="dxa"/>
        <w:right w:w="108" w:type="dxa"/>
      </w:tblCellMar>
    </w:tblPr>
  </w:style>
  <w:style w:type="paragraph" w:styleId="3">
    <w:name w:val="Date"/>
    <w:basedOn w:val="1"/>
    <w:next w:val="1"/>
    <w:link w:val="15"/>
    <w:semiHidden/>
    <w:unhideWhenUsed/>
    <w:qFormat/>
    <w:uiPriority w:val="99"/>
    <w:pPr>
      <w:ind w:left="100" w:leftChars="2500"/>
    </w:pPr>
  </w:style>
  <w:style w:type="paragraph" w:styleId="4">
    <w:name w:val="Balloon Text"/>
    <w:basedOn w:val="1"/>
    <w:link w:val="14"/>
    <w:semiHidden/>
    <w:unhideWhenUsed/>
    <w:qFormat/>
    <w:uiPriority w:val="99"/>
    <w:rPr>
      <w:sz w:val="18"/>
      <w:szCs w:val="18"/>
    </w:rPr>
  </w:style>
  <w:style w:type="paragraph" w:styleId="5">
    <w:name w:val="footer"/>
    <w:basedOn w:val="1"/>
    <w:link w:val="13"/>
    <w:unhideWhenUsed/>
    <w:uiPriority w:val="99"/>
    <w:pPr>
      <w:tabs>
        <w:tab w:val="center" w:pos="4153"/>
        <w:tab w:val="right" w:pos="8306"/>
      </w:tabs>
      <w:snapToGrid w:val="0"/>
      <w:jc w:val="left"/>
    </w:pPr>
    <w:rPr>
      <w:sz w:val="18"/>
      <w:szCs w:val="18"/>
    </w:rPr>
  </w:style>
  <w:style w:type="paragraph" w:styleId="6">
    <w:name w:val="header"/>
    <w:basedOn w:val="1"/>
    <w:link w:val="12"/>
    <w:unhideWhenUsed/>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99"/>
    <w:pPr>
      <w:widowControl/>
      <w:spacing w:beforeAutospacing="1" w:afterAutospacing="1"/>
      <w:jc w:val="left"/>
    </w:pPr>
    <w:rPr>
      <w:rFonts w:ascii="宋体" w:hAnsi="宋体" w:cs="宋体"/>
      <w:kern w:val="0"/>
      <w:sz w:val="24"/>
    </w:rPr>
  </w:style>
  <w:style w:type="character" w:styleId="9">
    <w:name w:val="Strong"/>
    <w:basedOn w:val="8"/>
    <w:qFormat/>
    <w:uiPriority w:val="22"/>
    <w:rPr>
      <w:b/>
      <w:bCs/>
    </w:rPr>
  </w:style>
  <w:style w:type="character" w:styleId="10">
    <w:name w:val="Hyperlink"/>
    <w:basedOn w:val="8"/>
    <w:qFormat/>
    <w:uiPriority w:val="99"/>
    <w:rPr>
      <w:rFonts w:ascii="Arial" w:hAnsi="Arial"/>
      <w:color w:val="FF6600"/>
      <w:sz w:val="20"/>
      <w:u w:val="single"/>
    </w:rPr>
  </w:style>
  <w:style w:type="character" w:customStyle="1" w:styleId="12">
    <w:name w:val="页眉 Char"/>
    <w:basedOn w:val="8"/>
    <w:link w:val="6"/>
    <w:qFormat/>
    <w:uiPriority w:val="99"/>
    <w:rPr>
      <w:sz w:val="18"/>
      <w:szCs w:val="18"/>
    </w:rPr>
  </w:style>
  <w:style w:type="character" w:customStyle="1" w:styleId="13">
    <w:name w:val="页脚 Char"/>
    <w:basedOn w:val="8"/>
    <w:link w:val="5"/>
    <w:qFormat/>
    <w:uiPriority w:val="99"/>
    <w:rPr>
      <w:sz w:val="18"/>
      <w:szCs w:val="18"/>
    </w:rPr>
  </w:style>
  <w:style w:type="character" w:customStyle="1" w:styleId="14">
    <w:name w:val="批注框文本 Char"/>
    <w:basedOn w:val="8"/>
    <w:link w:val="4"/>
    <w:semiHidden/>
    <w:qFormat/>
    <w:uiPriority w:val="99"/>
    <w:rPr>
      <w:sz w:val="18"/>
      <w:szCs w:val="18"/>
    </w:rPr>
  </w:style>
  <w:style w:type="character" w:customStyle="1" w:styleId="15">
    <w:name w:val="日期 Char"/>
    <w:basedOn w:val="8"/>
    <w:link w:val="3"/>
    <w:semiHidden/>
    <w:qFormat/>
    <w:uiPriority w:val="99"/>
  </w:style>
  <w:style w:type="character" w:customStyle="1" w:styleId="16">
    <w:name w:val="标题 4 Char"/>
    <w:basedOn w:val="8"/>
    <w:link w:val="2"/>
    <w:uiPriority w:val="9"/>
    <w:rPr>
      <w:rFonts w:ascii="宋体" w:hAnsi="宋体" w:eastAsia="宋体" w:cs="宋体"/>
      <w:b/>
      <w:bCs/>
      <w:sz w:val="24"/>
      <w:szCs w:val="24"/>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CF7C6CE-8F20-41E1-9765-EE400E4E8ACB}">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55</Pages>
  <Words>6847</Words>
  <Characters>39032</Characters>
  <Lines>325</Lines>
  <Paragraphs>91</Paragraphs>
  <TotalTime>8</TotalTime>
  <ScaleCrop>false</ScaleCrop>
  <LinksUpToDate>false</LinksUpToDate>
  <CharactersWithSpaces>45788</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2020-11-09T02:08:00Z</dcterms:created>
  <dc:creator>User</dc:creator>
  <cp:lastModifiedBy>shxl</cp:lastModifiedBy>
  <dcterms:modified xsi:type="dcterms:W3CDTF">2021-01-28T08:14:36Z</dcterms:modified>
  <cp:revision>483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